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84" w:rsidRPr="007F5CEA" w:rsidRDefault="00737284" w:rsidP="00E92A6E">
      <w:pPr>
        <w:spacing w:line="240" w:lineRule="auto"/>
        <w:jc w:val="center"/>
        <w:rPr>
          <w:rFonts w:ascii="Times New Roman" w:hAnsi="Times New Roman"/>
          <w:b/>
          <w:sz w:val="28"/>
        </w:rPr>
      </w:pPr>
      <w:r w:rsidRPr="00737284">
        <w:rPr>
          <w:rFonts w:ascii="Times New Roman" w:hAnsi="Times New Roman"/>
          <w:b/>
          <w:sz w:val="28"/>
        </w:rPr>
        <w:t xml:space="preserve">Рекомендуемая форма заявления о предоставлении </w:t>
      </w:r>
      <w:r w:rsidR="006233CE">
        <w:rPr>
          <w:rFonts w:ascii="Times New Roman" w:hAnsi="Times New Roman"/>
          <w:b/>
          <w:sz w:val="28"/>
        </w:rPr>
        <w:t>Региональной службой по тарифам и ценам Камчатского края</w:t>
      </w:r>
      <w:r w:rsidRPr="00737284">
        <w:rPr>
          <w:rFonts w:ascii="Times New Roman" w:hAnsi="Times New Roman"/>
          <w:b/>
          <w:sz w:val="28"/>
        </w:rPr>
        <w:t xml:space="preserve"> </w:t>
      </w:r>
      <w:r w:rsidR="003637D6">
        <w:rPr>
          <w:rFonts w:ascii="Times New Roman" w:hAnsi="Times New Roman"/>
          <w:b/>
          <w:sz w:val="28"/>
        </w:rPr>
        <w:t xml:space="preserve">(РСТ Камчатского края) </w:t>
      </w:r>
      <w:r w:rsidRPr="00737284">
        <w:rPr>
          <w:rFonts w:ascii="Times New Roman" w:hAnsi="Times New Roman"/>
          <w:b/>
          <w:sz w:val="28"/>
        </w:rPr>
        <w:t>государственной услуги по утверждению инвестиционных программ субъектов электроэнергетики</w:t>
      </w:r>
      <w:r w:rsidR="007F5CEA" w:rsidRPr="007F5CEA">
        <w:rPr>
          <w:rFonts w:ascii="Times New Roman" w:hAnsi="Times New Roman"/>
          <w:b/>
          <w:sz w:val="28"/>
        </w:rPr>
        <w:t>**</w:t>
      </w:r>
    </w:p>
    <w:tbl>
      <w:tblPr>
        <w:tblStyle w:val="a3"/>
        <w:tblW w:w="10173" w:type="dxa"/>
        <w:tblLook w:val="04A0" w:firstRow="1" w:lastRow="0" w:firstColumn="1" w:lastColumn="0" w:noHBand="0" w:noVBand="1"/>
      </w:tblPr>
      <w:tblGrid>
        <w:gridCol w:w="5353"/>
        <w:gridCol w:w="4820"/>
      </w:tblGrid>
      <w:tr w:rsidR="00737284" w:rsidRPr="00737284" w:rsidTr="00115D20">
        <w:tc>
          <w:tcPr>
            <w:tcW w:w="10173" w:type="dxa"/>
            <w:gridSpan w:val="2"/>
          </w:tcPr>
          <w:p w:rsidR="00737284" w:rsidRPr="000C1376" w:rsidRDefault="00E92A6E" w:rsidP="000C1376">
            <w:pPr>
              <w:pStyle w:val="a4"/>
              <w:numPr>
                <w:ilvl w:val="0"/>
                <w:numId w:val="2"/>
              </w:numPr>
              <w:jc w:val="center"/>
              <w:rPr>
                <w:rFonts w:ascii="Times New Roman" w:hAnsi="Times New Roman"/>
                <w:b/>
                <w:sz w:val="28"/>
              </w:rPr>
            </w:pPr>
            <w:r>
              <w:rPr>
                <w:rFonts w:ascii="Times New Roman" w:hAnsi="Times New Roman"/>
                <w:b/>
                <w:sz w:val="28"/>
              </w:rPr>
              <w:t>Общая информация о З</w:t>
            </w:r>
            <w:r w:rsidR="00737284" w:rsidRPr="000C1376">
              <w:rPr>
                <w:rFonts w:ascii="Times New Roman" w:hAnsi="Times New Roman"/>
                <w:b/>
                <w:sz w:val="28"/>
              </w:rPr>
              <w:t>аявителе</w:t>
            </w:r>
          </w:p>
        </w:tc>
      </w:tr>
      <w:tr w:rsidR="00737284" w:rsidTr="00115D20">
        <w:tc>
          <w:tcPr>
            <w:tcW w:w="5353" w:type="dxa"/>
          </w:tcPr>
          <w:p w:rsidR="00737284" w:rsidRPr="000C1376" w:rsidRDefault="00B4625F" w:rsidP="000C1376">
            <w:pPr>
              <w:pStyle w:val="a4"/>
              <w:numPr>
                <w:ilvl w:val="1"/>
                <w:numId w:val="2"/>
              </w:numPr>
              <w:rPr>
                <w:rFonts w:ascii="Times New Roman" w:hAnsi="Times New Roman"/>
                <w:sz w:val="28"/>
              </w:rPr>
            </w:pPr>
            <w:r w:rsidRPr="000C1376">
              <w:rPr>
                <w:rFonts w:ascii="Times New Roman" w:hAnsi="Times New Roman"/>
                <w:sz w:val="28"/>
              </w:rPr>
              <w:t>Полное наименование</w:t>
            </w:r>
          </w:p>
        </w:tc>
        <w:tc>
          <w:tcPr>
            <w:tcW w:w="4820" w:type="dxa"/>
          </w:tcPr>
          <w:p w:rsidR="00737284" w:rsidRDefault="00737284">
            <w:pPr>
              <w:rPr>
                <w:rFonts w:ascii="Times New Roman" w:hAnsi="Times New Roman"/>
                <w:sz w:val="28"/>
              </w:rPr>
            </w:pPr>
          </w:p>
        </w:tc>
      </w:tr>
      <w:tr w:rsidR="00737284" w:rsidTr="00115D20">
        <w:tc>
          <w:tcPr>
            <w:tcW w:w="5353" w:type="dxa"/>
          </w:tcPr>
          <w:p w:rsidR="00737284" w:rsidRPr="000C1376" w:rsidRDefault="00B4625F" w:rsidP="000C1376">
            <w:pPr>
              <w:pStyle w:val="a4"/>
              <w:numPr>
                <w:ilvl w:val="1"/>
                <w:numId w:val="2"/>
              </w:numPr>
              <w:rPr>
                <w:rFonts w:ascii="Times New Roman" w:hAnsi="Times New Roman"/>
                <w:sz w:val="28"/>
              </w:rPr>
            </w:pPr>
            <w:r w:rsidRPr="000C1376">
              <w:rPr>
                <w:rFonts w:ascii="Times New Roman" w:hAnsi="Times New Roman"/>
                <w:sz w:val="28"/>
              </w:rPr>
              <w:t>ОГРН</w:t>
            </w:r>
          </w:p>
        </w:tc>
        <w:tc>
          <w:tcPr>
            <w:tcW w:w="4820" w:type="dxa"/>
          </w:tcPr>
          <w:p w:rsidR="00737284" w:rsidRDefault="00737284">
            <w:pPr>
              <w:rPr>
                <w:rFonts w:ascii="Times New Roman" w:hAnsi="Times New Roman"/>
                <w:sz w:val="28"/>
              </w:rPr>
            </w:pPr>
          </w:p>
        </w:tc>
      </w:tr>
      <w:tr w:rsidR="00737284" w:rsidTr="00115D20">
        <w:tc>
          <w:tcPr>
            <w:tcW w:w="5353" w:type="dxa"/>
          </w:tcPr>
          <w:p w:rsidR="00737284" w:rsidRPr="00B4625F" w:rsidRDefault="00B4625F" w:rsidP="000C1376">
            <w:pPr>
              <w:pStyle w:val="a4"/>
              <w:numPr>
                <w:ilvl w:val="1"/>
                <w:numId w:val="2"/>
              </w:numPr>
              <w:rPr>
                <w:rFonts w:ascii="Times New Roman" w:hAnsi="Times New Roman"/>
                <w:sz w:val="28"/>
              </w:rPr>
            </w:pPr>
            <w:r>
              <w:rPr>
                <w:rFonts w:ascii="Times New Roman" w:hAnsi="Times New Roman"/>
                <w:sz w:val="28"/>
              </w:rPr>
              <w:t>ИНН</w:t>
            </w:r>
          </w:p>
        </w:tc>
        <w:tc>
          <w:tcPr>
            <w:tcW w:w="4820" w:type="dxa"/>
          </w:tcPr>
          <w:p w:rsidR="00737284" w:rsidRDefault="00737284">
            <w:pPr>
              <w:rPr>
                <w:rFonts w:ascii="Times New Roman" w:hAnsi="Times New Roman"/>
                <w:sz w:val="28"/>
              </w:rPr>
            </w:pPr>
          </w:p>
        </w:tc>
      </w:tr>
      <w:tr w:rsidR="00737284" w:rsidTr="00115D20">
        <w:tc>
          <w:tcPr>
            <w:tcW w:w="5353" w:type="dxa"/>
          </w:tcPr>
          <w:p w:rsidR="00737284" w:rsidRPr="00B4625F" w:rsidRDefault="00B4625F" w:rsidP="000C1376">
            <w:pPr>
              <w:pStyle w:val="a4"/>
              <w:numPr>
                <w:ilvl w:val="1"/>
                <w:numId w:val="2"/>
              </w:numPr>
              <w:rPr>
                <w:rFonts w:ascii="Times New Roman" w:hAnsi="Times New Roman"/>
                <w:sz w:val="28"/>
              </w:rPr>
            </w:pPr>
            <w:r>
              <w:rPr>
                <w:rFonts w:ascii="Times New Roman" w:hAnsi="Times New Roman"/>
                <w:sz w:val="28"/>
              </w:rPr>
              <w:t xml:space="preserve">Адрес электронной почты для осуществления информационного взаимодействия </w:t>
            </w:r>
            <w:r w:rsidR="00E648B9">
              <w:rPr>
                <w:rFonts w:ascii="Times New Roman" w:hAnsi="Times New Roman"/>
                <w:sz w:val="28"/>
              </w:rPr>
              <w:t xml:space="preserve">с Заявителем в рамках государственной услуги </w:t>
            </w:r>
          </w:p>
        </w:tc>
        <w:tc>
          <w:tcPr>
            <w:tcW w:w="4820" w:type="dxa"/>
          </w:tcPr>
          <w:p w:rsidR="00737284" w:rsidRDefault="00737284">
            <w:pPr>
              <w:rPr>
                <w:rFonts w:ascii="Times New Roman" w:hAnsi="Times New Roman"/>
                <w:sz w:val="28"/>
              </w:rPr>
            </w:pPr>
          </w:p>
        </w:tc>
      </w:tr>
      <w:tr w:rsidR="000C1376" w:rsidRPr="000C1376" w:rsidTr="00115D20">
        <w:tc>
          <w:tcPr>
            <w:tcW w:w="10173" w:type="dxa"/>
            <w:gridSpan w:val="2"/>
          </w:tcPr>
          <w:p w:rsidR="000C1376" w:rsidRPr="000C1376" w:rsidRDefault="000C1376" w:rsidP="000C1376">
            <w:pPr>
              <w:pStyle w:val="a4"/>
              <w:numPr>
                <w:ilvl w:val="0"/>
                <w:numId w:val="2"/>
              </w:numPr>
              <w:jc w:val="center"/>
              <w:rPr>
                <w:rFonts w:ascii="Times New Roman" w:hAnsi="Times New Roman"/>
                <w:b/>
                <w:sz w:val="28"/>
              </w:rPr>
            </w:pPr>
            <w:r w:rsidRPr="000C1376">
              <w:rPr>
                <w:rFonts w:ascii="Times New Roman" w:hAnsi="Times New Roman"/>
                <w:b/>
                <w:sz w:val="28"/>
              </w:rPr>
              <w:t>Информация о руководителе (лице, имеющем право действовать от имени Заявителя без доверенности)</w:t>
            </w:r>
          </w:p>
        </w:tc>
      </w:tr>
      <w:tr w:rsidR="00737284" w:rsidTr="00115D20">
        <w:tc>
          <w:tcPr>
            <w:tcW w:w="5353" w:type="dxa"/>
          </w:tcPr>
          <w:p w:rsidR="00737284" w:rsidRPr="000C1376" w:rsidRDefault="000C1376" w:rsidP="000C1376">
            <w:pPr>
              <w:pStyle w:val="a4"/>
              <w:numPr>
                <w:ilvl w:val="1"/>
                <w:numId w:val="2"/>
              </w:numPr>
              <w:rPr>
                <w:rFonts w:ascii="Times New Roman" w:hAnsi="Times New Roman"/>
                <w:sz w:val="28"/>
              </w:rPr>
            </w:pPr>
            <w:r>
              <w:rPr>
                <w:rFonts w:ascii="Times New Roman" w:hAnsi="Times New Roman"/>
                <w:sz w:val="28"/>
              </w:rPr>
              <w:t>Должность  руководителя</w:t>
            </w:r>
          </w:p>
        </w:tc>
        <w:tc>
          <w:tcPr>
            <w:tcW w:w="4820" w:type="dxa"/>
          </w:tcPr>
          <w:p w:rsidR="00737284" w:rsidRDefault="00737284">
            <w:pPr>
              <w:rPr>
                <w:rFonts w:ascii="Times New Roman" w:hAnsi="Times New Roman"/>
                <w:sz w:val="28"/>
              </w:rPr>
            </w:pPr>
          </w:p>
        </w:tc>
      </w:tr>
      <w:tr w:rsidR="00737284" w:rsidTr="00115D20">
        <w:tc>
          <w:tcPr>
            <w:tcW w:w="5353" w:type="dxa"/>
          </w:tcPr>
          <w:p w:rsidR="00737284" w:rsidRPr="000C1376" w:rsidRDefault="000C1376" w:rsidP="000C1376">
            <w:pPr>
              <w:pStyle w:val="a4"/>
              <w:numPr>
                <w:ilvl w:val="1"/>
                <w:numId w:val="2"/>
              </w:numPr>
              <w:rPr>
                <w:rFonts w:ascii="Times New Roman" w:hAnsi="Times New Roman"/>
                <w:sz w:val="28"/>
              </w:rPr>
            </w:pPr>
            <w:r>
              <w:rPr>
                <w:rFonts w:ascii="Times New Roman" w:hAnsi="Times New Roman"/>
                <w:sz w:val="28"/>
              </w:rPr>
              <w:t>Фамилия, имя, отчество руководителя</w:t>
            </w:r>
          </w:p>
        </w:tc>
        <w:tc>
          <w:tcPr>
            <w:tcW w:w="4820" w:type="dxa"/>
          </w:tcPr>
          <w:p w:rsidR="00737284" w:rsidRDefault="00737284">
            <w:pPr>
              <w:rPr>
                <w:rFonts w:ascii="Times New Roman" w:hAnsi="Times New Roman"/>
                <w:sz w:val="28"/>
              </w:rPr>
            </w:pPr>
          </w:p>
        </w:tc>
      </w:tr>
      <w:tr w:rsidR="000C1376" w:rsidRPr="000C1376" w:rsidTr="00115D20">
        <w:tc>
          <w:tcPr>
            <w:tcW w:w="10173" w:type="dxa"/>
            <w:gridSpan w:val="2"/>
          </w:tcPr>
          <w:p w:rsidR="000C1376" w:rsidRPr="000C1376" w:rsidRDefault="000C1376" w:rsidP="000C1376">
            <w:pPr>
              <w:pStyle w:val="a4"/>
              <w:numPr>
                <w:ilvl w:val="0"/>
                <w:numId w:val="2"/>
              </w:numPr>
              <w:jc w:val="center"/>
              <w:rPr>
                <w:rFonts w:ascii="Times New Roman" w:hAnsi="Times New Roman"/>
                <w:b/>
                <w:sz w:val="28"/>
              </w:rPr>
            </w:pPr>
            <w:r w:rsidRPr="000C1376">
              <w:rPr>
                <w:rFonts w:ascii="Times New Roman" w:hAnsi="Times New Roman"/>
                <w:b/>
                <w:sz w:val="28"/>
              </w:rPr>
              <w:t>Информация о контактном лице Заявителя</w:t>
            </w:r>
            <w:r>
              <w:rPr>
                <w:rFonts w:ascii="Times New Roman" w:hAnsi="Times New Roman"/>
                <w:b/>
                <w:sz w:val="28"/>
              </w:rPr>
              <w:t xml:space="preserve"> (работнике Заявителя, с которым будет осуществляться взаимодействие)</w:t>
            </w:r>
          </w:p>
        </w:tc>
      </w:tr>
      <w:tr w:rsidR="000C1376" w:rsidTr="00115D20">
        <w:tc>
          <w:tcPr>
            <w:tcW w:w="5353" w:type="dxa"/>
          </w:tcPr>
          <w:p w:rsidR="000C1376" w:rsidRDefault="000C1376" w:rsidP="000C1376">
            <w:pPr>
              <w:pStyle w:val="a4"/>
              <w:numPr>
                <w:ilvl w:val="1"/>
                <w:numId w:val="2"/>
              </w:numPr>
              <w:rPr>
                <w:rFonts w:ascii="Times New Roman" w:hAnsi="Times New Roman"/>
                <w:sz w:val="28"/>
              </w:rPr>
            </w:pPr>
            <w:r w:rsidRPr="000C1376">
              <w:rPr>
                <w:rFonts w:ascii="Times New Roman" w:hAnsi="Times New Roman"/>
                <w:sz w:val="28"/>
              </w:rPr>
              <w:t>Фамилия, имя, отчество</w:t>
            </w:r>
            <w:r>
              <w:rPr>
                <w:rFonts w:ascii="Times New Roman" w:hAnsi="Times New Roman"/>
                <w:sz w:val="28"/>
              </w:rPr>
              <w:t xml:space="preserve"> контактного лица</w:t>
            </w:r>
          </w:p>
        </w:tc>
        <w:tc>
          <w:tcPr>
            <w:tcW w:w="4820" w:type="dxa"/>
          </w:tcPr>
          <w:p w:rsidR="000C1376" w:rsidRDefault="000C1376">
            <w:pPr>
              <w:rPr>
                <w:rFonts w:ascii="Times New Roman" w:hAnsi="Times New Roman"/>
                <w:sz w:val="28"/>
              </w:rPr>
            </w:pPr>
          </w:p>
        </w:tc>
      </w:tr>
      <w:tr w:rsidR="000C1376" w:rsidTr="00115D20">
        <w:tc>
          <w:tcPr>
            <w:tcW w:w="5353" w:type="dxa"/>
          </w:tcPr>
          <w:p w:rsidR="000C1376" w:rsidRDefault="000C1376" w:rsidP="000C1376">
            <w:pPr>
              <w:pStyle w:val="a4"/>
              <w:numPr>
                <w:ilvl w:val="1"/>
                <w:numId w:val="2"/>
              </w:numPr>
              <w:rPr>
                <w:rFonts w:ascii="Times New Roman" w:hAnsi="Times New Roman"/>
                <w:sz w:val="28"/>
              </w:rPr>
            </w:pPr>
            <w:r>
              <w:rPr>
                <w:rFonts w:ascii="Times New Roman" w:hAnsi="Times New Roman"/>
                <w:sz w:val="28"/>
              </w:rPr>
              <w:t xml:space="preserve">Телефон </w:t>
            </w:r>
            <w:r w:rsidRPr="000C1376">
              <w:rPr>
                <w:rFonts w:ascii="Times New Roman" w:hAnsi="Times New Roman"/>
                <w:sz w:val="28"/>
              </w:rPr>
              <w:t>контактного лица</w:t>
            </w:r>
          </w:p>
        </w:tc>
        <w:tc>
          <w:tcPr>
            <w:tcW w:w="4820" w:type="dxa"/>
          </w:tcPr>
          <w:p w:rsidR="000C1376" w:rsidRDefault="000C1376">
            <w:pPr>
              <w:rPr>
                <w:rFonts w:ascii="Times New Roman" w:hAnsi="Times New Roman"/>
                <w:sz w:val="28"/>
              </w:rPr>
            </w:pPr>
          </w:p>
        </w:tc>
      </w:tr>
      <w:tr w:rsidR="000C1376" w:rsidTr="00115D20">
        <w:tc>
          <w:tcPr>
            <w:tcW w:w="5353" w:type="dxa"/>
          </w:tcPr>
          <w:p w:rsidR="000C1376" w:rsidRDefault="000C1376" w:rsidP="000C1376">
            <w:pPr>
              <w:pStyle w:val="a4"/>
              <w:numPr>
                <w:ilvl w:val="1"/>
                <w:numId w:val="2"/>
              </w:numPr>
              <w:rPr>
                <w:rFonts w:ascii="Times New Roman" w:hAnsi="Times New Roman"/>
                <w:sz w:val="28"/>
              </w:rPr>
            </w:pPr>
            <w:r>
              <w:rPr>
                <w:rFonts w:ascii="Times New Roman" w:hAnsi="Times New Roman"/>
                <w:sz w:val="28"/>
              </w:rPr>
              <w:t>Адрес электронной почты контактного лица</w:t>
            </w:r>
          </w:p>
        </w:tc>
        <w:tc>
          <w:tcPr>
            <w:tcW w:w="4820" w:type="dxa"/>
          </w:tcPr>
          <w:p w:rsidR="000C1376" w:rsidRDefault="000C1376">
            <w:pPr>
              <w:rPr>
                <w:rFonts w:ascii="Times New Roman" w:hAnsi="Times New Roman"/>
                <w:sz w:val="28"/>
              </w:rPr>
            </w:pPr>
          </w:p>
        </w:tc>
      </w:tr>
      <w:tr w:rsidR="000C1376" w:rsidRPr="000C1376" w:rsidTr="00115D20">
        <w:tc>
          <w:tcPr>
            <w:tcW w:w="10173" w:type="dxa"/>
            <w:gridSpan w:val="2"/>
          </w:tcPr>
          <w:p w:rsidR="000C1376" w:rsidRPr="00B46659" w:rsidRDefault="000C1376" w:rsidP="0084703A">
            <w:pPr>
              <w:pStyle w:val="a4"/>
              <w:numPr>
                <w:ilvl w:val="0"/>
                <w:numId w:val="2"/>
              </w:numPr>
              <w:jc w:val="center"/>
              <w:rPr>
                <w:rFonts w:ascii="Times New Roman" w:hAnsi="Times New Roman"/>
                <w:b/>
                <w:sz w:val="28"/>
              </w:rPr>
            </w:pPr>
            <w:r w:rsidRPr="00B46659">
              <w:rPr>
                <w:rFonts w:ascii="Times New Roman" w:hAnsi="Times New Roman"/>
                <w:b/>
                <w:sz w:val="28"/>
              </w:rPr>
              <w:t xml:space="preserve">Информация о соответствии Заявителя </w:t>
            </w:r>
            <w:r w:rsidR="00E92A6E">
              <w:rPr>
                <w:rFonts w:ascii="Times New Roman" w:hAnsi="Times New Roman"/>
                <w:b/>
                <w:sz w:val="28"/>
              </w:rPr>
              <w:t>К</w:t>
            </w:r>
            <w:r w:rsidR="00E92A6E" w:rsidRPr="00E92A6E">
              <w:rPr>
                <w:rFonts w:ascii="Times New Roman" w:hAnsi="Times New Roman"/>
                <w:b/>
                <w:sz w:val="28"/>
              </w:rPr>
              <w:t>ритери</w:t>
            </w:r>
            <w:r w:rsidR="00E92A6E">
              <w:rPr>
                <w:rFonts w:ascii="Times New Roman" w:hAnsi="Times New Roman"/>
                <w:b/>
                <w:sz w:val="28"/>
              </w:rPr>
              <w:t>ям</w:t>
            </w:r>
            <w:r w:rsidR="00E92A6E" w:rsidRPr="00E92A6E">
              <w:rPr>
                <w:rFonts w:ascii="Times New Roman" w:hAnsi="Times New Roman"/>
                <w:b/>
                <w:sz w:val="28"/>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w:t>
            </w:r>
            <w:r w:rsidRPr="00B46659">
              <w:rPr>
                <w:rFonts w:ascii="Times New Roman" w:hAnsi="Times New Roman"/>
                <w:b/>
                <w:sz w:val="28"/>
              </w:rPr>
              <w:t xml:space="preserve">, утвержденным </w:t>
            </w:r>
            <w:r w:rsidRPr="00B46659">
              <w:rPr>
                <w:rFonts w:ascii="Times New Roman" w:hAnsi="Times New Roman" w:cs="Times New Roman"/>
                <w:b/>
                <w:sz w:val="28"/>
              </w:rPr>
              <w:t>постановлением Правительства Российской Федерации от 01.12.2009 № 977 «Об инвестиционных программах субъектов электроэнергетики»</w:t>
            </w:r>
            <w:r w:rsidR="00E92A6E">
              <w:rPr>
                <w:rFonts w:ascii="Times New Roman" w:hAnsi="Times New Roman" w:cs="Times New Roman"/>
                <w:b/>
                <w:sz w:val="28"/>
              </w:rPr>
              <w:t xml:space="preserve"> (далее – критерии)</w:t>
            </w:r>
          </w:p>
        </w:tc>
      </w:tr>
      <w:tr w:rsidR="000C1376" w:rsidTr="00115D20">
        <w:tc>
          <w:tcPr>
            <w:tcW w:w="5353" w:type="dxa"/>
          </w:tcPr>
          <w:p w:rsidR="000C1376" w:rsidRDefault="00B46659" w:rsidP="000C1376">
            <w:pPr>
              <w:pStyle w:val="a4"/>
              <w:numPr>
                <w:ilvl w:val="1"/>
                <w:numId w:val="2"/>
              </w:numPr>
              <w:rPr>
                <w:rFonts w:ascii="Times New Roman" w:hAnsi="Times New Roman"/>
                <w:sz w:val="28"/>
              </w:rPr>
            </w:pPr>
            <w:r>
              <w:rPr>
                <w:rFonts w:ascii="Times New Roman" w:hAnsi="Times New Roman"/>
                <w:sz w:val="28"/>
              </w:rPr>
              <w:t>Указать</w:t>
            </w:r>
            <w:r w:rsidR="00E92A6E">
              <w:rPr>
                <w:rFonts w:ascii="Times New Roman" w:hAnsi="Times New Roman"/>
                <w:sz w:val="28"/>
              </w:rPr>
              <w:t>,</w:t>
            </w:r>
            <w:r>
              <w:rPr>
                <w:rFonts w:ascii="Times New Roman" w:hAnsi="Times New Roman"/>
                <w:sz w:val="28"/>
              </w:rPr>
              <w:t xml:space="preserve"> какому подпункту </w:t>
            </w:r>
            <w:r w:rsidR="00E92A6E">
              <w:rPr>
                <w:rFonts w:ascii="Times New Roman" w:hAnsi="Times New Roman"/>
                <w:sz w:val="28"/>
              </w:rPr>
              <w:t xml:space="preserve">(подпунктам) </w:t>
            </w:r>
            <w:r>
              <w:rPr>
                <w:rFonts w:ascii="Times New Roman" w:hAnsi="Times New Roman"/>
                <w:sz w:val="28"/>
              </w:rPr>
              <w:t>пункта 1 критериев соответствует Заявитель</w:t>
            </w:r>
          </w:p>
        </w:tc>
        <w:tc>
          <w:tcPr>
            <w:tcW w:w="4820" w:type="dxa"/>
          </w:tcPr>
          <w:p w:rsidR="00B46659" w:rsidRDefault="00B46659" w:rsidP="00E648B9">
            <w:pPr>
              <w:pStyle w:val="ConsPlusNormal"/>
              <w:numPr>
                <w:ilvl w:val="0"/>
                <w:numId w:val="11"/>
              </w:numPr>
              <w:jc w:val="both"/>
              <w:rPr>
                <w:sz w:val="24"/>
              </w:rPr>
            </w:pPr>
            <w:r w:rsidRPr="00115D20">
              <w:rPr>
                <w:sz w:val="24"/>
              </w:rPr>
              <w:t>организация по управлению единой национальной (общероссийской) электрической сетью;</w:t>
            </w:r>
          </w:p>
          <w:p w:rsidR="00E648B9" w:rsidRPr="00E648B9" w:rsidRDefault="00E648B9" w:rsidP="00E648B9">
            <w:pPr>
              <w:pStyle w:val="ConsPlusNormal"/>
              <w:ind w:left="720"/>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B46659" w:rsidRDefault="00B46659" w:rsidP="00E648B9">
            <w:pPr>
              <w:pStyle w:val="ConsPlusNormal"/>
              <w:numPr>
                <w:ilvl w:val="0"/>
                <w:numId w:val="11"/>
              </w:numPr>
              <w:jc w:val="both"/>
              <w:rPr>
                <w:sz w:val="24"/>
              </w:rPr>
            </w:pPr>
            <w:proofErr w:type="gramStart"/>
            <w:r w:rsidRPr="00115D20">
              <w:rPr>
                <w:sz w:val="24"/>
              </w:rPr>
              <w:t xml:space="preserve">сетевые организации, которые в соответствии с Федеральным </w:t>
            </w:r>
            <w:hyperlink r:id="rId9" w:history="1">
              <w:r w:rsidRPr="00115D20">
                <w:rPr>
                  <w:color w:val="0000FF"/>
                  <w:sz w:val="24"/>
                </w:rPr>
                <w:t>законом</w:t>
              </w:r>
            </w:hyperlink>
            <w:r w:rsidR="0084703A">
              <w:rPr>
                <w:sz w:val="24"/>
              </w:rPr>
              <w:t xml:space="preserve"> «О защите конкуренции»</w:t>
            </w:r>
            <w:r w:rsidRPr="00115D20">
              <w:rPr>
                <w:sz w:val="24"/>
              </w:rPr>
              <w:t xml:space="preserve"> входят в одну группу лиц с организацией по управлению единой национальной (общероссийской) электрической сетью, за исключением сетевых организаций, </w:t>
            </w:r>
            <w:r w:rsidRPr="00115D20">
              <w:rPr>
                <w:sz w:val="24"/>
              </w:rPr>
              <w:lastRenderedPageBreak/>
              <w:t xml:space="preserve">входящих в одну группу лиц с указанной организацией только по признаку, указанному в </w:t>
            </w:r>
            <w:hyperlink r:id="rId10" w:history="1">
              <w:r w:rsidRPr="00115D20">
                <w:rPr>
                  <w:color w:val="0000FF"/>
                  <w:sz w:val="24"/>
                </w:rPr>
                <w:t>пункте 7 части 1 статьи 9</w:t>
              </w:r>
            </w:hyperlink>
            <w:r w:rsidRPr="00115D20">
              <w:rPr>
                <w:sz w:val="24"/>
              </w:rPr>
              <w:t xml:space="preserve"> указанного Федерального закона;</w:t>
            </w:r>
            <w:proofErr w:type="gramEnd"/>
          </w:p>
          <w:p w:rsidR="00E648B9" w:rsidRPr="00E648B9" w:rsidRDefault="00E648B9" w:rsidP="00E648B9">
            <w:pPr>
              <w:pStyle w:val="ConsPlusNormal"/>
              <w:ind w:left="720"/>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B46659" w:rsidRDefault="00B46659" w:rsidP="00E648B9">
            <w:pPr>
              <w:pStyle w:val="ConsPlusNormal"/>
              <w:numPr>
                <w:ilvl w:val="0"/>
                <w:numId w:val="11"/>
              </w:numPr>
              <w:jc w:val="both"/>
              <w:rPr>
                <w:sz w:val="24"/>
              </w:rPr>
            </w:pPr>
            <w:r w:rsidRPr="00115D20">
              <w:rPr>
                <w:sz w:val="24"/>
              </w:rPr>
              <w:t>системный оператор Единой энергетической системы России;</w:t>
            </w:r>
          </w:p>
          <w:p w:rsidR="00E648B9" w:rsidRPr="00E648B9" w:rsidRDefault="00E648B9" w:rsidP="00E648B9">
            <w:pPr>
              <w:pStyle w:val="ConsPlusNormal"/>
              <w:ind w:left="720"/>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B46659" w:rsidRDefault="00B46659" w:rsidP="00E648B9">
            <w:pPr>
              <w:pStyle w:val="ConsPlusNormal"/>
              <w:numPr>
                <w:ilvl w:val="0"/>
                <w:numId w:val="11"/>
              </w:numPr>
              <w:jc w:val="both"/>
              <w:rPr>
                <w:sz w:val="24"/>
              </w:rPr>
            </w:pPr>
            <w:r w:rsidRPr="00115D20">
              <w:rPr>
                <w:sz w:val="24"/>
              </w:rPr>
              <w:t xml:space="preserve">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Российского открытого акционерного общества энергетики и </w:t>
            </w:r>
            <w:r w:rsidR="0084703A">
              <w:rPr>
                <w:sz w:val="24"/>
              </w:rPr>
              <w:t>электрификации «</w:t>
            </w:r>
            <w:r w:rsidRPr="00115D20">
              <w:rPr>
                <w:sz w:val="24"/>
              </w:rPr>
              <w:t>Едина</w:t>
            </w:r>
            <w:r w:rsidR="0084703A">
              <w:rPr>
                <w:sz w:val="24"/>
              </w:rPr>
              <w:t>я энергетическая система России»</w:t>
            </w:r>
            <w:r w:rsidRPr="00115D20">
              <w:rPr>
                <w:sz w:val="24"/>
              </w:rPr>
              <w:t>, в уставный капитал которой переданы генерирующие объекты гидроэлектростанций (далее - оптовая гидрогенерирующая компания);</w:t>
            </w:r>
          </w:p>
          <w:p w:rsidR="00E648B9" w:rsidRPr="00E648B9" w:rsidRDefault="00E648B9" w:rsidP="00E648B9">
            <w:pPr>
              <w:pStyle w:val="ConsPlusNormal"/>
              <w:ind w:left="720"/>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B46659" w:rsidRDefault="00B46659" w:rsidP="00E648B9">
            <w:pPr>
              <w:pStyle w:val="ConsPlusNormal"/>
              <w:numPr>
                <w:ilvl w:val="0"/>
                <w:numId w:val="11"/>
              </w:numPr>
              <w:jc w:val="both"/>
              <w:rPr>
                <w:sz w:val="24"/>
              </w:rPr>
            </w:pPr>
            <w:r w:rsidRPr="00115D20">
              <w:rPr>
                <w:sz w:val="24"/>
              </w:rPr>
              <w:t xml:space="preserve">субъекты электроэнергетики, прямое или косвенное владение </w:t>
            </w:r>
            <w:proofErr w:type="gramStart"/>
            <w:r w:rsidRPr="00115D20">
              <w:rPr>
                <w:sz w:val="24"/>
              </w:rPr>
              <w:t>долей</w:t>
            </w:r>
            <w:proofErr w:type="gramEnd"/>
            <w:r w:rsidRPr="00115D20">
              <w:rPr>
                <w:sz w:val="24"/>
              </w:rPr>
              <w:t xml:space="preserve"> в уставном капитале которых в размере не менее 20 процентов плюс одна голосующая акция осуществляет оптовая гидрогенерирующая компания;</w:t>
            </w:r>
          </w:p>
          <w:p w:rsidR="00E648B9" w:rsidRPr="00E648B9" w:rsidRDefault="00E648B9" w:rsidP="00E648B9">
            <w:pPr>
              <w:pStyle w:val="ConsPlusNormal"/>
              <w:ind w:left="720"/>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0C1376" w:rsidRDefault="00B46659" w:rsidP="00E648B9">
            <w:pPr>
              <w:pStyle w:val="ConsPlusNormal"/>
              <w:numPr>
                <w:ilvl w:val="0"/>
                <w:numId w:val="11"/>
              </w:numPr>
              <w:jc w:val="both"/>
              <w:rPr>
                <w:sz w:val="24"/>
              </w:rPr>
            </w:pPr>
            <w:r w:rsidRPr="00115D20">
              <w:rPr>
                <w:sz w:val="24"/>
              </w:rPr>
              <w:t>субъекты электроэнергетики, предусматривающие в инвестиционной программе строительство, реконструкцию, модернизацию и (или) техническое перевооружение объектов (энерго</w:t>
            </w:r>
            <w:r w:rsidR="00115D20">
              <w:rPr>
                <w:sz w:val="24"/>
              </w:rPr>
              <w:t>блоков) атомных электростанций.</w:t>
            </w:r>
          </w:p>
          <w:p w:rsidR="00E648B9" w:rsidRPr="00E648B9" w:rsidRDefault="00E648B9" w:rsidP="00E648B9">
            <w:pPr>
              <w:pStyle w:val="ConsPlusNormal"/>
              <w:ind w:left="720"/>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tc>
      </w:tr>
      <w:tr w:rsidR="000C1376" w:rsidTr="00115D20">
        <w:tc>
          <w:tcPr>
            <w:tcW w:w="5353" w:type="dxa"/>
          </w:tcPr>
          <w:p w:rsidR="000C1376" w:rsidRDefault="00B46659" w:rsidP="000C1376">
            <w:pPr>
              <w:pStyle w:val="a4"/>
              <w:numPr>
                <w:ilvl w:val="1"/>
                <w:numId w:val="2"/>
              </w:numPr>
              <w:rPr>
                <w:rFonts w:ascii="Times New Roman" w:hAnsi="Times New Roman"/>
                <w:sz w:val="28"/>
              </w:rPr>
            </w:pPr>
            <w:r>
              <w:rPr>
                <w:rFonts w:ascii="Times New Roman" w:hAnsi="Times New Roman"/>
                <w:sz w:val="28"/>
              </w:rPr>
              <w:lastRenderedPageBreak/>
              <w:t>Указать «Да», если заявитель не соответствует пункту 1 критериев</w:t>
            </w:r>
          </w:p>
        </w:tc>
        <w:tc>
          <w:tcPr>
            <w:tcW w:w="4820" w:type="dxa"/>
          </w:tcPr>
          <w:p w:rsidR="000C1376" w:rsidRDefault="00B46659">
            <w:pPr>
              <w:rPr>
                <w:rFonts w:ascii="Times New Roman" w:hAnsi="Times New Roman"/>
                <w:sz w:val="28"/>
              </w:rPr>
            </w:pPr>
            <w:r>
              <w:rPr>
                <w:rFonts w:ascii="Times New Roman" w:hAnsi="Times New Roman"/>
                <w:sz w:val="28"/>
              </w:rPr>
              <w:t>Да</w:t>
            </w:r>
            <w:proofErr w:type="gramStart"/>
            <w:r>
              <w:rPr>
                <w:rFonts w:ascii="Times New Roman" w:hAnsi="Times New Roman"/>
                <w:sz w:val="28"/>
              </w:rPr>
              <w:t>/Н</w:t>
            </w:r>
            <w:proofErr w:type="gramEnd"/>
            <w:r>
              <w:rPr>
                <w:rFonts w:ascii="Times New Roman" w:hAnsi="Times New Roman"/>
                <w:sz w:val="28"/>
              </w:rPr>
              <w:t>ет</w:t>
            </w:r>
            <w:r w:rsidR="0084703A">
              <w:rPr>
                <w:rFonts w:ascii="Times New Roman" w:hAnsi="Times New Roman"/>
                <w:sz w:val="28"/>
              </w:rPr>
              <w:t>*</w:t>
            </w:r>
          </w:p>
        </w:tc>
      </w:tr>
      <w:tr w:rsidR="000C1376" w:rsidTr="00115D20">
        <w:tc>
          <w:tcPr>
            <w:tcW w:w="5353" w:type="dxa"/>
          </w:tcPr>
          <w:p w:rsidR="000C1376" w:rsidRDefault="00B46659" w:rsidP="000C1376">
            <w:pPr>
              <w:pStyle w:val="a4"/>
              <w:numPr>
                <w:ilvl w:val="1"/>
                <w:numId w:val="2"/>
              </w:numPr>
              <w:rPr>
                <w:rFonts w:ascii="Times New Roman" w:hAnsi="Times New Roman"/>
                <w:sz w:val="28"/>
              </w:rPr>
            </w:pPr>
            <w:r>
              <w:rPr>
                <w:rFonts w:ascii="Times New Roman" w:hAnsi="Times New Roman"/>
                <w:sz w:val="28"/>
              </w:rPr>
              <w:t>Указать, установлены ли для заявителя долгосрочные параметры регулирования</w:t>
            </w:r>
          </w:p>
        </w:tc>
        <w:tc>
          <w:tcPr>
            <w:tcW w:w="4820" w:type="dxa"/>
          </w:tcPr>
          <w:p w:rsidR="000C1376" w:rsidRDefault="00B46659">
            <w:pPr>
              <w:rPr>
                <w:rFonts w:ascii="Times New Roman" w:hAnsi="Times New Roman"/>
                <w:sz w:val="28"/>
              </w:rPr>
            </w:pPr>
            <w:r>
              <w:rPr>
                <w:rFonts w:ascii="Times New Roman" w:hAnsi="Times New Roman"/>
                <w:sz w:val="28"/>
              </w:rPr>
              <w:t>Да</w:t>
            </w:r>
            <w:proofErr w:type="gramStart"/>
            <w:r>
              <w:rPr>
                <w:rFonts w:ascii="Times New Roman" w:hAnsi="Times New Roman"/>
                <w:sz w:val="28"/>
              </w:rPr>
              <w:t>/Н</w:t>
            </w:r>
            <w:proofErr w:type="gramEnd"/>
            <w:r>
              <w:rPr>
                <w:rFonts w:ascii="Times New Roman" w:hAnsi="Times New Roman"/>
                <w:sz w:val="28"/>
              </w:rPr>
              <w:t>ет</w:t>
            </w:r>
            <w:r w:rsidR="0084703A">
              <w:rPr>
                <w:rFonts w:ascii="Times New Roman" w:hAnsi="Times New Roman"/>
                <w:sz w:val="28"/>
              </w:rPr>
              <w:t>*</w:t>
            </w:r>
          </w:p>
        </w:tc>
      </w:tr>
      <w:tr w:rsidR="000C1376" w:rsidTr="00115D20">
        <w:tc>
          <w:tcPr>
            <w:tcW w:w="5353" w:type="dxa"/>
          </w:tcPr>
          <w:p w:rsidR="000C1376" w:rsidRDefault="00B46659" w:rsidP="000C1376">
            <w:pPr>
              <w:pStyle w:val="a4"/>
              <w:numPr>
                <w:ilvl w:val="1"/>
                <w:numId w:val="2"/>
              </w:numPr>
              <w:rPr>
                <w:rFonts w:ascii="Times New Roman" w:hAnsi="Times New Roman"/>
                <w:sz w:val="28"/>
              </w:rPr>
            </w:pPr>
            <w:r>
              <w:rPr>
                <w:rFonts w:ascii="Times New Roman" w:hAnsi="Times New Roman"/>
                <w:sz w:val="28"/>
              </w:rPr>
              <w:t>Указать, является ли Заявитель территориальной сетевой организацией</w:t>
            </w:r>
          </w:p>
        </w:tc>
        <w:tc>
          <w:tcPr>
            <w:tcW w:w="4820" w:type="dxa"/>
          </w:tcPr>
          <w:p w:rsidR="000C1376" w:rsidRDefault="00B46659">
            <w:pPr>
              <w:rPr>
                <w:rFonts w:ascii="Times New Roman" w:hAnsi="Times New Roman"/>
                <w:sz w:val="28"/>
              </w:rPr>
            </w:pPr>
            <w:r>
              <w:rPr>
                <w:rFonts w:ascii="Times New Roman" w:hAnsi="Times New Roman"/>
                <w:sz w:val="28"/>
              </w:rPr>
              <w:t>Да</w:t>
            </w:r>
            <w:proofErr w:type="gramStart"/>
            <w:r>
              <w:rPr>
                <w:rFonts w:ascii="Times New Roman" w:hAnsi="Times New Roman"/>
                <w:sz w:val="28"/>
              </w:rPr>
              <w:t>/Н</w:t>
            </w:r>
            <w:proofErr w:type="gramEnd"/>
            <w:r>
              <w:rPr>
                <w:rFonts w:ascii="Times New Roman" w:hAnsi="Times New Roman"/>
                <w:sz w:val="28"/>
              </w:rPr>
              <w:t>ет</w:t>
            </w:r>
            <w:r w:rsidR="0084703A">
              <w:rPr>
                <w:rFonts w:ascii="Times New Roman" w:hAnsi="Times New Roman"/>
                <w:sz w:val="28"/>
              </w:rPr>
              <w:t>*</w:t>
            </w:r>
          </w:p>
        </w:tc>
      </w:tr>
      <w:tr w:rsidR="00B46659" w:rsidRPr="00B46659" w:rsidTr="00115D20">
        <w:tc>
          <w:tcPr>
            <w:tcW w:w="10173" w:type="dxa"/>
            <w:gridSpan w:val="2"/>
          </w:tcPr>
          <w:p w:rsidR="00B46659" w:rsidRPr="00B46659" w:rsidRDefault="00B46659" w:rsidP="007F5CEA">
            <w:pPr>
              <w:pStyle w:val="ConsPlusNormal"/>
              <w:numPr>
                <w:ilvl w:val="0"/>
                <w:numId w:val="2"/>
              </w:numPr>
              <w:jc w:val="center"/>
              <w:rPr>
                <w:b/>
              </w:rPr>
            </w:pPr>
            <w:proofErr w:type="gramStart"/>
            <w:r w:rsidRPr="00B46659">
              <w:rPr>
                <w:b/>
              </w:rPr>
              <w:lastRenderedPageBreak/>
              <w:t xml:space="preserve">Для заявителей, которые в соответствии с Федеральным </w:t>
            </w:r>
            <w:hyperlink r:id="rId11" w:history="1">
              <w:r w:rsidRPr="00B46659">
                <w:rPr>
                  <w:b/>
                  <w:color w:val="0000FF"/>
                </w:rPr>
                <w:t>законом</w:t>
              </w:r>
            </w:hyperlink>
            <w:r w:rsidRPr="00B46659">
              <w:rPr>
                <w:b/>
              </w:rP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12" w:history="1">
              <w:r w:rsidRPr="00B46659">
                <w:rPr>
                  <w:b/>
                  <w:color w:val="0000FF"/>
                </w:rPr>
                <w:t>пункте 7 части 1 статьи 9</w:t>
              </w:r>
            </w:hyperlink>
            <w:r w:rsidRPr="00B46659">
              <w:rPr>
                <w:b/>
              </w:rPr>
              <w:t xml:space="preserve"> указанного </w:t>
            </w:r>
            <w:r w:rsidR="007F5CEA">
              <w:rPr>
                <w:b/>
              </w:rPr>
              <w:t>ф</w:t>
            </w:r>
            <w:r w:rsidRPr="00B46659">
              <w:rPr>
                <w:b/>
              </w:rPr>
              <w:t>едерального закона</w:t>
            </w:r>
            <w:proofErr w:type="gramEnd"/>
          </w:p>
        </w:tc>
      </w:tr>
      <w:tr w:rsidR="00B46659" w:rsidTr="00115D20">
        <w:tc>
          <w:tcPr>
            <w:tcW w:w="5353" w:type="dxa"/>
          </w:tcPr>
          <w:p w:rsidR="00B46659" w:rsidRDefault="00B46659" w:rsidP="009B79AB">
            <w:pPr>
              <w:pStyle w:val="a4"/>
              <w:numPr>
                <w:ilvl w:val="1"/>
                <w:numId w:val="2"/>
              </w:numPr>
              <w:rPr>
                <w:rFonts w:ascii="Times New Roman" w:hAnsi="Times New Roman"/>
                <w:sz w:val="28"/>
              </w:rPr>
            </w:pPr>
            <w:r>
              <w:rPr>
                <w:rFonts w:ascii="Times New Roman" w:hAnsi="Times New Roman"/>
                <w:sz w:val="28"/>
              </w:rPr>
              <w:t>Указать основания</w:t>
            </w:r>
            <w:r w:rsidR="009B79AB">
              <w:rPr>
                <w:rFonts w:ascii="Times New Roman" w:hAnsi="Times New Roman"/>
                <w:sz w:val="28"/>
              </w:rPr>
              <w:t xml:space="preserve">, из числа предусмотренных </w:t>
            </w:r>
            <w:r w:rsidR="009B79AB" w:rsidRPr="007F5CEA">
              <w:rPr>
                <w:rFonts w:ascii="Times New Roman" w:hAnsi="Times New Roman"/>
                <w:sz w:val="28"/>
              </w:rPr>
              <w:t>Федеральным законом «О защите конкуренции»</w:t>
            </w:r>
            <w:r>
              <w:rPr>
                <w:rFonts w:ascii="Times New Roman" w:hAnsi="Times New Roman"/>
                <w:sz w:val="28"/>
              </w:rPr>
              <w:t xml:space="preserve">, по которым Заявитель входит в одну группу лиц с организацией по управлению </w:t>
            </w:r>
            <w:r w:rsidRPr="00B46659">
              <w:rPr>
                <w:rFonts w:ascii="Times New Roman" w:hAnsi="Times New Roman"/>
                <w:sz w:val="28"/>
              </w:rPr>
              <w:t>единой национальной (общероссийской) электрической сетью</w:t>
            </w:r>
          </w:p>
        </w:tc>
        <w:tc>
          <w:tcPr>
            <w:tcW w:w="4820" w:type="dxa"/>
          </w:tcPr>
          <w:p w:rsidR="00E92A6E" w:rsidRDefault="00E92A6E" w:rsidP="00115D20">
            <w:pPr>
              <w:pStyle w:val="a4"/>
              <w:numPr>
                <w:ilvl w:val="0"/>
                <w:numId w:val="7"/>
              </w:numPr>
              <w:ind w:left="317"/>
              <w:jc w:val="both"/>
              <w:rPr>
                <w:rFonts w:ascii="Times New Roman" w:hAnsi="Times New Roman"/>
                <w:sz w:val="24"/>
              </w:rPr>
            </w:pPr>
            <w:proofErr w:type="gramStart"/>
            <w:r w:rsidRPr="00115D20">
              <w:rPr>
                <w:rFonts w:ascii="Times New Roman" w:hAnsi="Times New Roman"/>
                <w:sz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w:t>
            </w:r>
            <w:proofErr w:type="gramEnd"/>
            <w:r w:rsidRPr="00115D20">
              <w:rPr>
                <w:rFonts w:ascii="Times New Roman" w:hAnsi="Times New Roman"/>
                <w:sz w:val="24"/>
              </w:rPr>
              <w:t xml:space="preserve"> уставном (складочном) </w:t>
            </w:r>
            <w:proofErr w:type="gramStart"/>
            <w:r w:rsidRPr="00115D20">
              <w:rPr>
                <w:rFonts w:ascii="Times New Roman" w:hAnsi="Times New Roman"/>
                <w:sz w:val="24"/>
              </w:rPr>
              <w:t>капитале</w:t>
            </w:r>
            <w:proofErr w:type="gramEnd"/>
            <w:r w:rsidRPr="00115D20">
              <w:rPr>
                <w:rFonts w:ascii="Times New Roman" w:hAnsi="Times New Roman"/>
                <w:sz w:val="24"/>
              </w:rPr>
              <w:t xml:space="preserve"> этого хозяйственного общества (товарищества, хозяйственного партнерства);</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E92A6E" w:rsidRDefault="00E92A6E" w:rsidP="00115D20">
            <w:pPr>
              <w:pStyle w:val="a4"/>
              <w:numPr>
                <w:ilvl w:val="0"/>
                <w:numId w:val="7"/>
              </w:numPr>
              <w:ind w:left="317"/>
              <w:jc w:val="both"/>
              <w:rPr>
                <w:rFonts w:ascii="Times New Roman" w:hAnsi="Times New Roman"/>
                <w:sz w:val="24"/>
              </w:rPr>
            </w:pPr>
            <w:r w:rsidRPr="00115D20">
              <w:rPr>
                <w:rFonts w:ascii="Times New Roman" w:hAnsi="Times New Roman"/>
                <w:sz w:val="24"/>
              </w:rPr>
              <w:t>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E92A6E" w:rsidRDefault="00E92A6E" w:rsidP="00115D20">
            <w:pPr>
              <w:pStyle w:val="a4"/>
              <w:numPr>
                <w:ilvl w:val="0"/>
                <w:numId w:val="7"/>
              </w:numPr>
              <w:ind w:left="317"/>
              <w:jc w:val="both"/>
              <w:rPr>
                <w:rFonts w:ascii="Times New Roman" w:hAnsi="Times New Roman"/>
                <w:sz w:val="24"/>
              </w:rPr>
            </w:pPr>
            <w:proofErr w:type="gramStart"/>
            <w:r w:rsidRPr="00115D20">
              <w:rPr>
                <w:rFonts w:ascii="Times New Roman" w:hAnsi="Times New Roman"/>
                <w:sz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roofErr w:type="gramEnd"/>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E92A6E" w:rsidRPr="00115D20" w:rsidRDefault="00E92A6E" w:rsidP="00115D20">
            <w:pPr>
              <w:pStyle w:val="a4"/>
              <w:numPr>
                <w:ilvl w:val="0"/>
                <w:numId w:val="7"/>
              </w:numPr>
              <w:ind w:left="317"/>
              <w:jc w:val="both"/>
              <w:rPr>
                <w:rFonts w:ascii="Times New Roman" w:hAnsi="Times New Roman"/>
                <w:sz w:val="24"/>
              </w:rPr>
            </w:pPr>
            <w:r w:rsidRPr="00115D20">
              <w:rPr>
                <w:rFonts w:ascii="Times New Roman" w:hAnsi="Times New Roman"/>
                <w:sz w:val="24"/>
              </w:rPr>
              <w:t xml:space="preserve">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w:t>
            </w:r>
            <w:r w:rsidRPr="00115D20">
              <w:rPr>
                <w:rFonts w:ascii="Times New Roman" w:hAnsi="Times New Roman"/>
                <w:sz w:val="24"/>
              </w:rPr>
              <w:lastRenderedPageBreak/>
              <w:t>лица;</w:t>
            </w:r>
          </w:p>
          <w:p w:rsidR="00E92A6E" w:rsidRDefault="00E92A6E" w:rsidP="00115D20">
            <w:pPr>
              <w:pStyle w:val="a4"/>
              <w:numPr>
                <w:ilvl w:val="0"/>
                <w:numId w:val="7"/>
              </w:numPr>
              <w:ind w:left="317"/>
              <w:jc w:val="both"/>
              <w:rPr>
                <w:rFonts w:ascii="Times New Roman" w:hAnsi="Times New Roman"/>
                <w:sz w:val="24"/>
              </w:rPr>
            </w:pPr>
            <w:r w:rsidRPr="00115D20">
              <w:rPr>
                <w:rFonts w:ascii="Times New Roman" w:hAnsi="Times New Roman"/>
                <w:sz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115D20" w:rsidRDefault="00E92A6E" w:rsidP="00115D20">
            <w:pPr>
              <w:pStyle w:val="a4"/>
              <w:numPr>
                <w:ilvl w:val="0"/>
                <w:numId w:val="7"/>
              </w:numPr>
              <w:ind w:left="317"/>
              <w:jc w:val="both"/>
              <w:rPr>
                <w:rFonts w:ascii="Times New Roman" w:hAnsi="Times New Roman"/>
                <w:sz w:val="24"/>
              </w:rPr>
            </w:pPr>
            <w:r w:rsidRPr="00115D20">
              <w:rPr>
                <w:rFonts w:ascii="Times New Roman" w:hAnsi="Times New Roman"/>
                <w:sz w:val="24"/>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115D20" w:rsidRDefault="00E92A6E" w:rsidP="00115D20">
            <w:pPr>
              <w:pStyle w:val="a4"/>
              <w:numPr>
                <w:ilvl w:val="0"/>
                <w:numId w:val="7"/>
              </w:numPr>
              <w:ind w:left="317"/>
              <w:jc w:val="both"/>
              <w:rPr>
                <w:rFonts w:ascii="Times New Roman" w:hAnsi="Times New Roman"/>
                <w:sz w:val="24"/>
              </w:rPr>
            </w:pPr>
            <w:proofErr w:type="gramStart"/>
            <w:r w:rsidRPr="00115D20">
              <w:rPr>
                <w:rFonts w:ascii="Times New Roman" w:hAnsi="Times New Roman"/>
                <w:sz w:val="24"/>
              </w:rPr>
              <w:t xml:space="preserve">лица, каждое из которых по какому-либо из указанных в пунктах 1 - </w:t>
            </w:r>
            <w:r w:rsidR="00115D20" w:rsidRPr="00115D20">
              <w:rPr>
                <w:rFonts w:ascii="Times New Roman" w:hAnsi="Times New Roman"/>
                <w:sz w:val="24"/>
              </w:rPr>
              <w:t>6</w:t>
            </w:r>
            <w:r w:rsidRPr="00115D20">
              <w:rPr>
                <w:rFonts w:ascii="Times New Roman" w:hAnsi="Times New Roman"/>
                <w:sz w:val="24"/>
              </w:rPr>
              <w:t xml:space="preserve"> части</w:t>
            </w:r>
            <w:r w:rsidR="00115D20" w:rsidRPr="00115D20">
              <w:rPr>
                <w:rFonts w:ascii="Times New Roman" w:hAnsi="Times New Roman"/>
                <w:sz w:val="24"/>
              </w:rPr>
              <w:t xml:space="preserve"> 1 статьи 9 Федерального закона «О защите конкуренции»</w:t>
            </w:r>
            <w:r w:rsidRPr="00115D20">
              <w:rPr>
                <w:rFonts w:ascii="Times New Roman" w:hAnsi="Times New Roman"/>
                <w:sz w:val="24"/>
              </w:rPr>
              <w:t xml:space="preserve"> признаку входит в группу с одним и тем же лицом, а также другие лица, входящие с любым из таких лиц в группу по какому-либо из указанных в пунктах 1 - </w:t>
            </w:r>
            <w:r w:rsidR="00115D20" w:rsidRPr="00115D20">
              <w:rPr>
                <w:rFonts w:ascii="Times New Roman" w:hAnsi="Times New Roman"/>
                <w:sz w:val="24"/>
              </w:rPr>
              <w:t xml:space="preserve">6части 1 статьи 9 Федерального закона «О защите конкуренции» </w:t>
            </w:r>
            <w:r w:rsidRPr="00115D20">
              <w:rPr>
                <w:rFonts w:ascii="Times New Roman" w:hAnsi="Times New Roman"/>
                <w:sz w:val="24"/>
              </w:rPr>
              <w:t>признаку;</w:t>
            </w:r>
            <w:proofErr w:type="gramEnd"/>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B46659" w:rsidRDefault="00E92A6E" w:rsidP="00115D20">
            <w:pPr>
              <w:pStyle w:val="a4"/>
              <w:numPr>
                <w:ilvl w:val="0"/>
                <w:numId w:val="7"/>
              </w:numPr>
              <w:ind w:left="317"/>
              <w:jc w:val="both"/>
              <w:rPr>
                <w:rFonts w:ascii="Times New Roman" w:hAnsi="Times New Roman"/>
                <w:sz w:val="24"/>
              </w:rPr>
            </w:pPr>
            <w:proofErr w:type="gramStart"/>
            <w:r w:rsidRPr="00115D20">
              <w:rPr>
                <w:rFonts w:ascii="Times New Roman" w:hAnsi="Times New Roman"/>
                <w:sz w:val="24"/>
              </w:rP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пунктах 1 </w:t>
            </w:r>
            <w:r w:rsidR="00115D20" w:rsidRPr="00115D20">
              <w:rPr>
                <w:rFonts w:ascii="Times New Roman" w:hAnsi="Times New Roman"/>
                <w:sz w:val="24"/>
              </w:rPr>
              <w:t xml:space="preserve">–6 и 8части 1 статьи 9 Федерального закона «О защите конкуренции» </w:t>
            </w:r>
            <w:r w:rsidRPr="00115D20">
              <w:rPr>
                <w:rFonts w:ascii="Times New Roman" w:hAnsi="Times New Roman"/>
                <w:sz w:val="24"/>
              </w:rPr>
              <w:t>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w:t>
            </w:r>
            <w:proofErr w:type="gramEnd"/>
            <w:r w:rsidRPr="00115D20">
              <w:rPr>
                <w:rFonts w:ascii="Times New Roman" w:hAnsi="Times New Roman"/>
                <w:sz w:val="24"/>
              </w:rPr>
              <w:t xml:space="preserve">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E648B9" w:rsidRPr="00E648B9" w:rsidRDefault="00E648B9" w:rsidP="00E648B9">
            <w:pPr>
              <w:pStyle w:val="ConsPlusNormal"/>
              <w:ind w:left="317"/>
              <w:jc w:val="both"/>
              <w:rPr>
                <w:b/>
                <w:sz w:val="24"/>
                <w:u w:val="single"/>
              </w:rPr>
            </w:pPr>
          </w:p>
        </w:tc>
      </w:tr>
      <w:tr w:rsidR="00B46659" w:rsidTr="00115D20">
        <w:tc>
          <w:tcPr>
            <w:tcW w:w="5353" w:type="dxa"/>
          </w:tcPr>
          <w:p w:rsidR="00B46659" w:rsidRDefault="00B46659" w:rsidP="00B46659">
            <w:pPr>
              <w:pStyle w:val="a4"/>
              <w:numPr>
                <w:ilvl w:val="1"/>
                <w:numId w:val="2"/>
              </w:numPr>
              <w:rPr>
                <w:rFonts w:ascii="Times New Roman" w:hAnsi="Times New Roman"/>
                <w:sz w:val="28"/>
              </w:rPr>
            </w:pPr>
            <w:r>
              <w:rPr>
                <w:rFonts w:ascii="Times New Roman" w:hAnsi="Times New Roman"/>
                <w:sz w:val="28"/>
              </w:rPr>
              <w:lastRenderedPageBreak/>
              <w:t xml:space="preserve">Приложить расчеты и копии документов, обосновывающих основания, по которым Заявитель входит в одну группу лиц с организацией по управлению </w:t>
            </w:r>
            <w:r w:rsidRPr="00B46659">
              <w:rPr>
                <w:rFonts w:ascii="Times New Roman" w:hAnsi="Times New Roman"/>
                <w:sz w:val="28"/>
              </w:rPr>
              <w:t>единой национальной (общероссийской) электрической сетью</w:t>
            </w:r>
          </w:p>
        </w:tc>
        <w:tc>
          <w:tcPr>
            <w:tcW w:w="4820" w:type="dxa"/>
          </w:tcPr>
          <w:p w:rsidR="00B46659" w:rsidRDefault="006164E6">
            <w:pPr>
              <w:rPr>
                <w:rFonts w:ascii="Times New Roman" w:hAnsi="Times New Roman"/>
                <w:sz w:val="28"/>
              </w:rPr>
            </w:pPr>
            <w:r>
              <w:rPr>
                <w:rFonts w:ascii="Times New Roman" w:hAnsi="Times New Roman"/>
                <w:sz w:val="28"/>
              </w:rPr>
              <w:t>Приложение на электронном носителе</w:t>
            </w:r>
            <w:r w:rsidR="007F5CEA">
              <w:rPr>
                <w:rFonts w:ascii="Times New Roman" w:hAnsi="Times New Roman"/>
                <w:sz w:val="28"/>
              </w:rPr>
              <w:t>**</w:t>
            </w:r>
          </w:p>
        </w:tc>
      </w:tr>
      <w:tr w:rsidR="006164E6" w:rsidRPr="006164E6" w:rsidTr="00115D20">
        <w:tc>
          <w:tcPr>
            <w:tcW w:w="10173" w:type="dxa"/>
            <w:gridSpan w:val="2"/>
          </w:tcPr>
          <w:p w:rsidR="006164E6" w:rsidRPr="006164E6" w:rsidRDefault="006164E6" w:rsidP="006164E6">
            <w:pPr>
              <w:pStyle w:val="a4"/>
              <w:numPr>
                <w:ilvl w:val="0"/>
                <w:numId w:val="2"/>
              </w:numPr>
              <w:jc w:val="center"/>
              <w:rPr>
                <w:rFonts w:ascii="Times New Roman" w:hAnsi="Times New Roman"/>
                <w:b/>
                <w:sz w:val="28"/>
              </w:rPr>
            </w:pPr>
            <w:r w:rsidRPr="006164E6">
              <w:rPr>
                <w:rFonts w:ascii="Times New Roman" w:hAnsi="Times New Roman"/>
                <w:b/>
                <w:sz w:val="28"/>
              </w:rPr>
              <w:t xml:space="preserve">Для заявителей, прямое или косвенное владение </w:t>
            </w:r>
            <w:proofErr w:type="gramStart"/>
            <w:r w:rsidRPr="006164E6">
              <w:rPr>
                <w:rFonts w:ascii="Times New Roman" w:hAnsi="Times New Roman"/>
                <w:b/>
                <w:sz w:val="28"/>
              </w:rPr>
              <w:t>долей</w:t>
            </w:r>
            <w:proofErr w:type="gramEnd"/>
            <w:r w:rsidRPr="006164E6">
              <w:rPr>
                <w:rFonts w:ascii="Times New Roman" w:hAnsi="Times New Roman"/>
                <w:b/>
                <w:sz w:val="28"/>
              </w:rPr>
              <w:t xml:space="preserve"> в уставном капитале которых в размере не менее 20 процентов плюс одна голосующая акция осуществляет оптовая гидрогенерирующая компания</w:t>
            </w:r>
          </w:p>
        </w:tc>
      </w:tr>
      <w:tr w:rsidR="00B46659" w:rsidTr="00115D20">
        <w:tc>
          <w:tcPr>
            <w:tcW w:w="5353" w:type="dxa"/>
          </w:tcPr>
          <w:p w:rsidR="00B46659" w:rsidRDefault="006164E6" w:rsidP="00E97489">
            <w:pPr>
              <w:pStyle w:val="a4"/>
              <w:numPr>
                <w:ilvl w:val="1"/>
                <w:numId w:val="2"/>
              </w:numPr>
              <w:rPr>
                <w:rFonts w:ascii="Times New Roman" w:hAnsi="Times New Roman"/>
                <w:sz w:val="28"/>
              </w:rPr>
            </w:pPr>
            <w:r>
              <w:rPr>
                <w:rFonts w:ascii="Times New Roman" w:hAnsi="Times New Roman"/>
                <w:sz w:val="28"/>
              </w:rPr>
              <w:t xml:space="preserve">Указать размер доли в уставном капитале Заявителя, прямое или косвенное владение которой осуществляет </w:t>
            </w:r>
            <w:r w:rsidR="00E97489" w:rsidRPr="00E97489">
              <w:rPr>
                <w:rFonts w:ascii="Times New Roman" w:hAnsi="Times New Roman"/>
                <w:sz w:val="28"/>
              </w:rPr>
              <w:t>оптовая гидрогенерирующая компания</w:t>
            </w:r>
          </w:p>
        </w:tc>
        <w:tc>
          <w:tcPr>
            <w:tcW w:w="4820" w:type="dxa"/>
          </w:tcPr>
          <w:p w:rsidR="00B46659" w:rsidRDefault="006164E6">
            <w:pPr>
              <w:rPr>
                <w:rFonts w:ascii="Times New Roman" w:hAnsi="Times New Roman"/>
                <w:sz w:val="28"/>
              </w:rPr>
            </w:pPr>
            <w:r>
              <w:rPr>
                <w:rFonts w:ascii="Times New Roman" w:hAnsi="Times New Roman"/>
                <w:sz w:val="28"/>
              </w:rPr>
              <w:t>_________ %</w:t>
            </w:r>
          </w:p>
        </w:tc>
      </w:tr>
      <w:tr w:rsidR="00B46659" w:rsidTr="00115D20">
        <w:tc>
          <w:tcPr>
            <w:tcW w:w="5353" w:type="dxa"/>
          </w:tcPr>
          <w:p w:rsidR="00B46659" w:rsidRPr="00E97489" w:rsidRDefault="00E97489" w:rsidP="00E97489">
            <w:pPr>
              <w:pStyle w:val="ConsPlusNormal"/>
              <w:numPr>
                <w:ilvl w:val="1"/>
                <w:numId w:val="2"/>
              </w:numPr>
              <w:jc w:val="both"/>
            </w:pPr>
            <w:r w:rsidRPr="00E97489">
              <w:t>Приложить расчеты и копии документов,</w:t>
            </w:r>
            <w:r>
              <w:t xml:space="preserve"> обосновывающие основания, по которым Заявитель является субъектом электроэнергетики, прямое или косвенное владение </w:t>
            </w:r>
            <w:proofErr w:type="gramStart"/>
            <w:r>
              <w:t>долей</w:t>
            </w:r>
            <w:proofErr w:type="gramEnd"/>
            <w:r>
              <w:t xml:space="preserve"> в уставном капитале которого в размере не менее 20 процентов плюс одна голосующая акция осуществляет оптовая гидрогенерирующая компания</w:t>
            </w:r>
          </w:p>
        </w:tc>
        <w:tc>
          <w:tcPr>
            <w:tcW w:w="4820" w:type="dxa"/>
          </w:tcPr>
          <w:p w:rsidR="00B46659" w:rsidRDefault="00E97489">
            <w:pPr>
              <w:rPr>
                <w:rFonts w:ascii="Times New Roman" w:hAnsi="Times New Roman"/>
                <w:sz w:val="28"/>
              </w:rPr>
            </w:pPr>
            <w:r>
              <w:rPr>
                <w:rFonts w:ascii="Times New Roman" w:hAnsi="Times New Roman"/>
                <w:sz w:val="28"/>
              </w:rPr>
              <w:t>Приложение на электронном носителе</w:t>
            </w:r>
            <w:r w:rsidR="007F5CEA">
              <w:rPr>
                <w:rFonts w:ascii="Times New Roman" w:hAnsi="Times New Roman"/>
                <w:sz w:val="28"/>
              </w:rPr>
              <w:t>**</w:t>
            </w:r>
          </w:p>
        </w:tc>
      </w:tr>
      <w:tr w:rsidR="00E97489" w:rsidRPr="00E97489" w:rsidTr="00115D20">
        <w:tc>
          <w:tcPr>
            <w:tcW w:w="10173" w:type="dxa"/>
            <w:gridSpan w:val="2"/>
          </w:tcPr>
          <w:p w:rsidR="00E97489" w:rsidRPr="00E97489" w:rsidRDefault="00E97489" w:rsidP="00E97489">
            <w:pPr>
              <w:jc w:val="center"/>
              <w:rPr>
                <w:rFonts w:ascii="Times New Roman" w:hAnsi="Times New Roman"/>
                <w:b/>
                <w:sz w:val="28"/>
              </w:rPr>
            </w:pPr>
            <w:r w:rsidRPr="00E97489">
              <w:rPr>
                <w:rFonts w:ascii="Times New Roman" w:hAnsi="Times New Roman"/>
                <w:b/>
                <w:sz w:val="28"/>
              </w:rPr>
              <w:t>7. Заявление об утверждении</w:t>
            </w:r>
          </w:p>
        </w:tc>
      </w:tr>
      <w:tr w:rsidR="00B46659" w:rsidTr="00115D20">
        <w:tc>
          <w:tcPr>
            <w:tcW w:w="5353" w:type="dxa"/>
          </w:tcPr>
          <w:p w:rsidR="00B46659" w:rsidRPr="00AD4046" w:rsidRDefault="00E97489" w:rsidP="00AD4046">
            <w:pPr>
              <w:pStyle w:val="a4"/>
              <w:numPr>
                <w:ilvl w:val="1"/>
                <w:numId w:val="3"/>
              </w:numPr>
              <w:rPr>
                <w:rFonts w:ascii="Times New Roman" w:hAnsi="Times New Roman"/>
                <w:sz w:val="28"/>
              </w:rPr>
            </w:pPr>
            <w:r w:rsidRPr="00AD4046">
              <w:rPr>
                <w:rFonts w:ascii="Times New Roman" w:hAnsi="Times New Roman"/>
                <w:sz w:val="28"/>
              </w:rPr>
              <w:t xml:space="preserve">Если планируется утверждение </w:t>
            </w:r>
            <w:r w:rsidRPr="00AD4046">
              <w:rPr>
                <w:rFonts w:ascii="Times New Roman" w:hAnsi="Times New Roman"/>
                <w:b/>
                <w:sz w:val="28"/>
                <w:u w:val="single"/>
              </w:rPr>
              <w:t>новой</w:t>
            </w:r>
            <w:r w:rsidRPr="00AD4046">
              <w:rPr>
                <w:rFonts w:ascii="Times New Roman" w:hAnsi="Times New Roman"/>
                <w:sz w:val="28"/>
              </w:rPr>
              <w:t xml:space="preserve"> инвестиционной программы на следующий период реализации, указать годы начала и окончания периода реализации</w:t>
            </w:r>
          </w:p>
        </w:tc>
        <w:tc>
          <w:tcPr>
            <w:tcW w:w="4820" w:type="dxa"/>
          </w:tcPr>
          <w:p w:rsidR="00B46659" w:rsidRDefault="00E97489">
            <w:pPr>
              <w:rPr>
                <w:rFonts w:ascii="Times New Roman" w:hAnsi="Times New Roman"/>
                <w:sz w:val="28"/>
              </w:rPr>
            </w:pPr>
            <w:r>
              <w:rPr>
                <w:rFonts w:ascii="Times New Roman" w:hAnsi="Times New Roman"/>
                <w:sz w:val="28"/>
              </w:rPr>
              <w:t xml:space="preserve">Год начала – </w:t>
            </w:r>
          </w:p>
          <w:p w:rsidR="00E97489" w:rsidRDefault="00E97489">
            <w:pPr>
              <w:rPr>
                <w:rFonts w:ascii="Times New Roman" w:hAnsi="Times New Roman"/>
                <w:sz w:val="28"/>
              </w:rPr>
            </w:pPr>
            <w:r>
              <w:rPr>
                <w:rFonts w:ascii="Times New Roman" w:hAnsi="Times New Roman"/>
                <w:sz w:val="28"/>
              </w:rPr>
              <w:t xml:space="preserve">Год окончания </w:t>
            </w:r>
            <w:r w:rsidR="00A25F08">
              <w:rPr>
                <w:rFonts w:ascii="Times New Roman" w:hAnsi="Times New Roman"/>
                <w:sz w:val="28"/>
              </w:rPr>
              <w:t>–</w:t>
            </w:r>
          </w:p>
          <w:p w:rsidR="00AD4046" w:rsidRDefault="00AD4046">
            <w:pPr>
              <w:rPr>
                <w:rFonts w:ascii="Times New Roman" w:hAnsi="Times New Roman"/>
                <w:sz w:val="28"/>
              </w:rPr>
            </w:pPr>
          </w:p>
        </w:tc>
      </w:tr>
      <w:tr w:rsidR="00E97489" w:rsidTr="00115D20">
        <w:tc>
          <w:tcPr>
            <w:tcW w:w="5353" w:type="dxa"/>
          </w:tcPr>
          <w:p w:rsidR="00E97489" w:rsidRDefault="00E97489" w:rsidP="003637D6">
            <w:pPr>
              <w:pStyle w:val="a4"/>
              <w:numPr>
                <w:ilvl w:val="1"/>
                <w:numId w:val="3"/>
              </w:numPr>
              <w:rPr>
                <w:rFonts w:ascii="Times New Roman" w:hAnsi="Times New Roman"/>
                <w:sz w:val="28"/>
              </w:rPr>
            </w:pPr>
            <w:r>
              <w:rPr>
                <w:rFonts w:ascii="Times New Roman" w:hAnsi="Times New Roman"/>
                <w:sz w:val="28"/>
              </w:rPr>
              <w:t xml:space="preserve">Если планируется утверждение </w:t>
            </w:r>
            <w:r w:rsidRPr="00AD4046">
              <w:rPr>
                <w:rFonts w:ascii="Times New Roman" w:hAnsi="Times New Roman"/>
                <w:b/>
                <w:sz w:val="28"/>
                <w:u w:val="single"/>
              </w:rPr>
              <w:t>изменений</w:t>
            </w:r>
            <w:r>
              <w:rPr>
                <w:rFonts w:ascii="Times New Roman" w:hAnsi="Times New Roman"/>
                <w:sz w:val="28"/>
              </w:rPr>
              <w:t xml:space="preserve"> в ранее утвержденную </w:t>
            </w:r>
            <w:r w:rsidR="003637D6">
              <w:rPr>
                <w:rFonts w:ascii="Times New Roman" w:hAnsi="Times New Roman"/>
                <w:sz w:val="28"/>
              </w:rPr>
              <w:t>РСТ Камчатского края</w:t>
            </w:r>
            <w:r>
              <w:rPr>
                <w:rFonts w:ascii="Times New Roman" w:hAnsi="Times New Roman"/>
                <w:sz w:val="28"/>
              </w:rPr>
              <w:t xml:space="preserve"> </w:t>
            </w:r>
            <w:r w:rsidR="00AD4046">
              <w:rPr>
                <w:rFonts w:ascii="Times New Roman" w:hAnsi="Times New Roman"/>
                <w:sz w:val="28"/>
              </w:rPr>
              <w:t xml:space="preserve">инвестиционную программу, указать реквизиты </w:t>
            </w:r>
            <w:r w:rsidR="003637D6">
              <w:rPr>
                <w:rFonts w:ascii="Times New Roman" w:hAnsi="Times New Roman"/>
                <w:sz w:val="28"/>
              </w:rPr>
              <w:t>постановления РСТ Камчатского края</w:t>
            </w:r>
            <w:r w:rsidR="00AD4046">
              <w:rPr>
                <w:rFonts w:ascii="Times New Roman" w:hAnsi="Times New Roman"/>
                <w:sz w:val="28"/>
              </w:rPr>
              <w:t xml:space="preserve"> о ее утверждении</w:t>
            </w:r>
          </w:p>
        </w:tc>
        <w:tc>
          <w:tcPr>
            <w:tcW w:w="4820" w:type="dxa"/>
          </w:tcPr>
          <w:p w:rsidR="00E97489" w:rsidRDefault="003637D6">
            <w:pPr>
              <w:rPr>
                <w:rFonts w:ascii="Times New Roman" w:hAnsi="Times New Roman"/>
                <w:sz w:val="28"/>
              </w:rPr>
            </w:pPr>
            <w:r>
              <w:rPr>
                <w:rFonts w:ascii="Times New Roman" w:hAnsi="Times New Roman"/>
                <w:sz w:val="28"/>
              </w:rPr>
              <w:t xml:space="preserve">Постановление РСТ Камчатского края </w:t>
            </w:r>
            <w:r w:rsidR="00AD4046">
              <w:rPr>
                <w:rFonts w:ascii="Times New Roman" w:hAnsi="Times New Roman"/>
                <w:sz w:val="28"/>
              </w:rPr>
              <w:t xml:space="preserve"> </w:t>
            </w:r>
            <w:proofErr w:type="gramStart"/>
            <w:r w:rsidR="00AD4046">
              <w:rPr>
                <w:rFonts w:ascii="Times New Roman" w:hAnsi="Times New Roman"/>
                <w:sz w:val="28"/>
              </w:rPr>
              <w:t>от</w:t>
            </w:r>
            <w:proofErr w:type="gramEnd"/>
            <w:r w:rsidR="00AD4046">
              <w:rPr>
                <w:rFonts w:ascii="Times New Roman" w:hAnsi="Times New Roman"/>
                <w:sz w:val="28"/>
              </w:rPr>
              <w:t xml:space="preserve"> ______________ № _______________</w:t>
            </w:r>
          </w:p>
        </w:tc>
      </w:tr>
      <w:tr w:rsidR="00E97489" w:rsidTr="00115D20">
        <w:tc>
          <w:tcPr>
            <w:tcW w:w="5353" w:type="dxa"/>
          </w:tcPr>
          <w:p w:rsidR="00E97489" w:rsidRDefault="00AD4046" w:rsidP="00AD4046">
            <w:pPr>
              <w:pStyle w:val="a4"/>
              <w:numPr>
                <w:ilvl w:val="1"/>
                <w:numId w:val="3"/>
              </w:numPr>
              <w:rPr>
                <w:rFonts w:ascii="Times New Roman" w:hAnsi="Times New Roman"/>
                <w:sz w:val="28"/>
              </w:rPr>
            </w:pPr>
            <w:r>
              <w:rPr>
                <w:rFonts w:ascii="Times New Roman" w:hAnsi="Times New Roman"/>
                <w:sz w:val="28"/>
              </w:rPr>
              <w:t xml:space="preserve">Указать полный электронный адрес места размещения проекта инвестиционной программы и (или) </w:t>
            </w:r>
            <w:r>
              <w:rPr>
                <w:rFonts w:ascii="Times New Roman" w:hAnsi="Times New Roman"/>
                <w:sz w:val="28"/>
              </w:rPr>
              <w:lastRenderedPageBreak/>
              <w:t>проекта изменений, вносимых в инвестиционную программу</w:t>
            </w:r>
            <w:r w:rsidR="00553BDF">
              <w:rPr>
                <w:rFonts w:ascii="Times New Roman" w:hAnsi="Times New Roman"/>
                <w:sz w:val="28"/>
              </w:rPr>
              <w:t xml:space="preserve"> (далее – проект ИПР)</w:t>
            </w:r>
            <w:r>
              <w:rPr>
                <w:rFonts w:ascii="Times New Roman" w:hAnsi="Times New Roman"/>
                <w:sz w:val="28"/>
              </w:rPr>
              <w:t xml:space="preserve">, в </w:t>
            </w:r>
            <w:r w:rsidRPr="00AD4046">
              <w:rPr>
                <w:rFonts w:ascii="Times New Roman" w:hAnsi="Times New Roman"/>
                <w:sz w:val="28"/>
              </w:rPr>
              <w:t>информационно-телекоммуникационной сети «Интернет»</w:t>
            </w:r>
          </w:p>
        </w:tc>
        <w:tc>
          <w:tcPr>
            <w:tcW w:w="4820" w:type="dxa"/>
          </w:tcPr>
          <w:p w:rsidR="00E97489" w:rsidRDefault="00E97489">
            <w:pPr>
              <w:rPr>
                <w:rFonts w:ascii="Times New Roman" w:hAnsi="Times New Roman"/>
                <w:sz w:val="28"/>
              </w:rPr>
            </w:pPr>
          </w:p>
        </w:tc>
      </w:tr>
      <w:tr w:rsidR="00E97489" w:rsidTr="00115D20">
        <w:tc>
          <w:tcPr>
            <w:tcW w:w="5353" w:type="dxa"/>
          </w:tcPr>
          <w:p w:rsidR="00E97489" w:rsidRDefault="00AD4046" w:rsidP="00E92A6E">
            <w:pPr>
              <w:pStyle w:val="a4"/>
              <w:numPr>
                <w:ilvl w:val="1"/>
                <w:numId w:val="3"/>
              </w:numPr>
              <w:rPr>
                <w:rFonts w:ascii="Times New Roman" w:hAnsi="Times New Roman"/>
                <w:sz w:val="28"/>
              </w:rPr>
            </w:pPr>
            <w:r>
              <w:rPr>
                <w:rFonts w:ascii="Times New Roman" w:hAnsi="Times New Roman"/>
                <w:sz w:val="28"/>
              </w:rPr>
              <w:lastRenderedPageBreak/>
              <w:t xml:space="preserve">Дата размещения информации, указанной в пункте </w:t>
            </w:r>
            <w:r w:rsidR="00E92A6E">
              <w:rPr>
                <w:rFonts w:ascii="Times New Roman" w:hAnsi="Times New Roman"/>
                <w:sz w:val="28"/>
              </w:rPr>
              <w:t>7.3</w:t>
            </w:r>
          </w:p>
        </w:tc>
        <w:tc>
          <w:tcPr>
            <w:tcW w:w="4820" w:type="dxa"/>
          </w:tcPr>
          <w:p w:rsidR="00E97489" w:rsidRDefault="00E97489">
            <w:pPr>
              <w:rPr>
                <w:rFonts w:ascii="Times New Roman" w:hAnsi="Times New Roman"/>
                <w:sz w:val="28"/>
              </w:rPr>
            </w:pPr>
          </w:p>
        </w:tc>
      </w:tr>
      <w:tr w:rsidR="00AD4046" w:rsidRPr="00AD4046" w:rsidTr="00115D20">
        <w:tc>
          <w:tcPr>
            <w:tcW w:w="10173" w:type="dxa"/>
            <w:gridSpan w:val="2"/>
          </w:tcPr>
          <w:p w:rsidR="00AD4046" w:rsidRPr="00AD4046" w:rsidRDefault="00AD4046" w:rsidP="00553BDF">
            <w:pPr>
              <w:pStyle w:val="a4"/>
              <w:numPr>
                <w:ilvl w:val="0"/>
                <w:numId w:val="3"/>
              </w:numPr>
              <w:jc w:val="center"/>
              <w:rPr>
                <w:rFonts w:ascii="Times New Roman" w:hAnsi="Times New Roman"/>
                <w:b/>
                <w:sz w:val="28"/>
              </w:rPr>
            </w:pPr>
            <w:r w:rsidRPr="00AD4046">
              <w:rPr>
                <w:rFonts w:ascii="Times New Roman" w:hAnsi="Times New Roman"/>
                <w:b/>
                <w:sz w:val="28"/>
              </w:rPr>
              <w:t xml:space="preserve">Виды проектов, реализация которых предусматривается проектом </w:t>
            </w:r>
            <w:r w:rsidR="00553BDF">
              <w:rPr>
                <w:rFonts w:ascii="Times New Roman" w:hAnsi="Times New Roman"/>
                <w:b/>
                <w:sz w:val="28"/>
              </w:rPr>
              <w:t>ИПР</w:t>
            </w:r>
          </w:p>
        </w:tc>
      </w:tr>
      <w:tr w:rsidR="00AD4046" w:rsidTr="00115D20">
        <w:tc>
          <w:tcPr>
            <w:tcW w:w="5353" w:type="dxa"/>
          </w:tcPr>
          <w:p w:rsidR="00AD4046" w:rsidRPr="00E92A6E" w:rsidRDefault="001E5BFE" w:rsidP="00A25F08">
            <w:pPr>
              <w:pStyle w:val="ConsPlusNormal"/>
              <w:numPr>
                <w:ilvl w:val="1"/>
                <w:numId w:val="3"/>
              </w:numPr>
              <w:jc w:val="both"/>
            </w:pPr>
            <w:proofErr w:type="gramStart"/>
            <w:r>
              <w:t xml:space="preserve">Указать </w:t>
            </w:r>
            <w:proofErr w:type="spellStart"/>
            <w:r>
              <w:t>н</w:t>
            </w:r>
            <w:r w:rsidRPr="001E5BFE">
              <w:t>аличиев</w:t>
            </w:r>
            <w:proofErr w:type="spellEnd"/>
            <w:r w:rsidRPr="001E5BFE">
              <w:t xml:space="preserve"> проекте </w:t>
            </w:r>
            <w:r w:rsidR="00553BDF">
              <w:t>ИПР</w:t>
            </w:r>
            <w:r w:rsidRPr="001E5BFE">
              <w:t xml:space="preserve"> инвестиционных пр</w:t>
            </w:r>
            <w:r w:rsidR="00E92A6E">
              <w:t>оектов, указанных в подпунктах «</w:t>
            </w:r>
            <w:r w:rsidRPr="001E5BFE">
              <w:t>в</w:t>
            </w:r>
            <w:r w:rsidR="00E92A6E">
              <w:t>»</w:t>
            </w:r>
            <w:r w:rsidRPr="001E5BFE">
              <w:t xml:space="preserve">, </w:t>
            </w:r>
            <w:r w:rsidR="00E92A6E">
              <w:t>«</w:t>
            </w:r>
            <w:r w:rsidRPr="001E5BFE">
              <w:t>е</w:t>
            </w:r>
            <w:r w:rsidR="00E92A6E">
              <w:t>»</w:t>
            </w:r>
            <w:r w:rsidRPr="001E5BFE">
              <w:t xml:space="preserve"> и </w:t>
            </w:r>
            <w:r w:rsidR="00E92A6E">
              <w:t>«ж»</w:t>
            </w:r>
            <w:r w:rsidRPr="001E5BFE">
              <w:t xml:space="preserve"> пункта 18 Правил</w:t>
            </w:r>
            <w:r>
              <w:t xml:space="preserve"> утверждения инвестиционных программ</w:t>
            </w:r>
            <w:r w:rsidR="00E92A6E">
              <w:t xml:space="preserve"> субъектов электроэнергетики, </w:t>
            </w:r>
            <w:r w:rsidR="00E92A6E" w:rsidRPr="00E92A6E">
              <w:t>утвержденны</w:t>
            </w:r>
            <w:r w:rsidR="00E92A6E">
              <w:t>х</w:t>
            </w:r>
            <w:r w:rsidR="00E92A6E" w:rsidRPr="00E92A6E">
              <w:t xml:space="preserve"> постановлением Правительства Российской Федерации от 01.12.2009  № 977 «Об инвестиционных программах субъектов электроэнергетики»</w:t>
            </w:r>
            <w:proofErr w:type="gramEnd"/>
          </w:p>
        </w:tc>
        <w:tc>
          <w:tcPr>
            <w:tcW w:w="4820" w:type="dxa"/>
          </w:tcPr>
          <w:p w:rsidR="00AD4046" w:rsidRDefault="00AD4046" w:rsidP="001E5BFE">
            <w:pPr>
              <w:pStyle w:val="ConsPlusNormal"/>
              <w:numPr>
                <w:ilvl w:val="0"/>
                <w:numId w:val="5"/>
              </w:numPr>
              <w:ind w:left="317"/>
              <w:jc w:val="both"/>
              <w:rPr>
                <w:sz w:val="24"/>
              </w:rPr>
            </w:pPr>
            <w:r w:rsidRPr="00115D20">
              <w:rPr>
                <w:sz w:val="24"/>
              </w:rPr>
              <w:t>строительств</w:t>
            </w:r>
            <w:r w:rsidR="009B79AB">
              <w:rPr>
                <w:sz w:val="24"/>
              </w:rPr>
              <w:t>о</w:t>
            </w:r>
            <w:r w:rsidRPr="00115D20">
              <w:rPr>
                <w:sz w:val="24"/>
              </w:rPr>
              <w:t xml:space="preserve"> (реконструкции, модернизации, техническому перевооружению) объектов (энергоблоков) атомных электростанций;</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1E5BFE" w:rsidRDefault="00AD4046" w:rsidP="001E5BFE">
            <w:pPr>
              <w:pStyle w:val="ConsPlusNormal"/>
              <w:numPr>
                <w:ilvl w:val="0"/>
                <w:numId w:val="5"/>
              </w:numPr>
              <w:ind w:left="317"/>
              <w:jc w:val="both"/>
              <w:rPr>
                <w:sz w:val="24"/>
              </w:rPr>
            </w:pPr>
            <w:r w:rsidRPr="00115D20">
              <w:rPr>
                <w:sz w:val="24"/>
              </w:rPr>
              <w:t>обеспечени</w:t>
            </w:r>
            <w:r w:rsidR="009B79AB">
              <w:rPr>
                <w:sz w:val="24"/>
              </w:rPr>
              <w:t>е</w:t>
            </w:r>
            <w:r w:rsidRPr="00115D20">
              <w:rPr>
                <w:sz w:val="24"/>
              </w:rPr>
              <w:t xml:space="preserve">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1E5BFE" w:rsidRDefault="001E5BFE" w:rsidP="001E5BFE">
            <w:pPr>
              <w:pStyle w:val="ConsPlusNormal"/>
              <w:numPr>
                <w:ilvl w:val="0"/>
                <w:numId w:val="5"/>
              </w:numPr>
              <w:ind w:left="317"/>
              <w:jc w:val="both"/>
              <w:rPr>
                <w:sz w:val="24"/>
              </w:rPr>
            </w:pPr>
            <w:r w:rsidRPr="00115D20">
              <w:rPr>
                <w:sz w:val="24"/>
              </w:rPr>
              <w:t xml:space="preserve">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w:t>
            </w:r>
            <w:proofErr w:type="spellStart"/>
            <w:r w:rsidRPr="00115D20">
              <w:rPr>
                <w:sz w:val="24"/>
              </w:rPr>
              <w:t>кВ</w:t>
            </w:r>
            <w:proofErr w:type="spellEnd"/>
            <w:r w:rsidRPr="00115D20">
              <w:rPr>
                <w:sz w:val="24"/>
              </w:rPr>
              <w:t xml:space="preserve"> и выше;</w:t>
            </w:r>
            <w:bookmarkStart w:id="0" w:name="_GoBack"/>
            <w:bookmarkEnd w:id="0"/>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1E5BFE" w:rsidRDefault="001E5BFE" w:rsidP="001E5BFE">
            <w:pPr>
              <w:pStyle w:val="ConsPlusNormal"/>
              <w:numPr>
                <w:ilvl w:val="0"/>
                <w:numId w:val="5"/>
              </w:numPr>
              <w:ind w:left="317"/>
              <w:jc w:val="both"/>
              <w:rPr>
                <w:sz w:val="24"/>
              </w:rPr>
            </w:pPr>
            <w:r w:rsidRPr="00115D20">
              <w:rPr>
                <w:sz w:val="24"/>
              </w:rP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1E5BFE" w:rsidRPr="00E648B9" w:rsidRDefault="001E5BFE" w:rsidP="001E5BFE">
            <w:pPr>
              <w:pStyle w:val="ConsPlusNormal"/>
              <w:numPr>
                <w:ilvl w:val="0"/>
                <w:numId w:val="5"/>
              </w:numPr>
              <w:ind w:left="317"/>
              <w:jc w:val="both"/>
            </w:pPr>
            <w:r w:rsidRPr="00115D20">
              <w:rPr>
                <w:sz w:val="24"/>
              </w:rPr>
              <w:t>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 в пределах технологически изолированной территориальной электроэнергетической системы</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E648B9" w:rsidRPr="001E5BFE" w:rsidRDefault="00E648B9" w:rsidP="00E648B9">
            <w:pPr>
              <w:pStyle w:val="ConsPlusNormal"/>
              <w:ind w:left="317"/>
              <w:jc w:val="both"/>
            </w:pPr>
          </w:p>
        </w:tc>
      </w:tr>
      <w:tr w:rsidR="00E97489" w:rsidTr="00115D20">
        <w:tc>
          <w:tcPr>
            <w:tcW w:w="5353" w:type="dxa"/>
          </w:tcPr>
          <w:p w:rsidR="00E97489" w:rsidRDefault="009009CB" w:rsidP="00553BDF">
            <w:pPr>
              <w:pStyle w:val="a4"/>
              <w:numPr>
                <w:ilvl w:val="1"/>
                <w:numId w:val="3"/>
              </w:numPr>
              <w:rPr>
                <w:rFonts w:ascii="Times New Roman" w:hAnsi="Times New Roman"/>
                <w:sz w:val="28"/>
              </w:rPr>
            </w:pPr>
            <w:r>
              <w:rPr>
                <w:rFonts w:ascii="Times New Roman" w:hAnsi="Times New Roman"/>
                <w:sz w:val="28"/>
              </w:rPr>
              <w:lastRenderedPageBreak/>
              <w:t xml:space="preserve">Если проектом </w:t>
            </w:r>
            <w:r w:rsidR="00553BDF">
              <w:rPr>
                <w:rFonts w:ascii="Times New Roman" w:hAnsi="Times New Roman"/>
                <w:sz w:val="28"/>
              </w:rPr>
              <w:t>ИПР</w:t>
            </w:r>
            <w:r>
              <w:rPr>
                <w:rFonts w:ascii="Times New Roman" w:hAnsi="Times New Roman"/>
                <w:sz w:val="28"/>
              </w:rPr>
              <w:t xml:space="preserve"> предусматривается </w:t>
            </w:r>
            <w:r w:rsidRPr="009009CB">
              <w:rPr>
                <w:rFonts w:ascii="Times New Roman" w:hAnsi="Times New Roman"/>
                <w:sz w:val="28"/>
              </w:rPr>
              <w:t xml:space="preserve">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 в пределах </w:t>
            </w:r>
            <w:r w:rsidRPr="00E92A6E">
              <w:rPr>
                <w:rFonts w:ascii="Times New Roman" w:hAnsi="Times New Roman"/>
                <w:b/>
                <w:sz w:val="28"/>
              </w:rPr>
              <w:t>технологически изолированных</w:t>
            </w:r>
            <w:r w:rsidRPr="009009CB">
              <w:rPr>
                <w:rFonts w:ascii="Times New Roman" w:hAnsi="Times New Roman"/>
                <w:sz w:val="28"/>
              </w:rPr>
              <w:t xml:space="preserve"> территориальн</w:t>
            </w:r>
            <w:r>
              <w:rPr>
                <w:rFonts w:ascii="Times New Roman" w:hAnsi="Times New Roman"/>
                <w:sz w:val="28"/>
              </w:rPr>
              <w:t>ых</w:t>
            </w:r>
            <w:r w:rsidRPr="009009CB">
              <w:rPr>
                <w:rFonts w:ascii="Times New Roman" w:hAnsi="Times New Roman"/>
                <w:sz w:val="28"/>
              </w:rPr>
              <w:t xml:space="preserve"> электроэнергетическ</w:t>
            </w:r>
            <w:r>
              <w:rPr>
                <w:rFonts w:ascii="Times New Roman" w:hAnsi="Times New Roman"/>
                <w:sz w:val="28"/>
              </w:rPr>
              <w:t>их</w:t>
            </w:r>
            <w:r w:rsidRPr="009009CB">
              <w:rPr>
                <w:rFonts w:ascii="Times New Roman" w:hAnsi="Times New Roman"/>
                <w:sz w:val="28"/>
              </w:rPr>
              <w:t xml:space="preserve"> сист</w:t>
            </w:r>
            <w:r>
              <w:rPr>
                <w:rFonts w:ascii="Times New Roman" w:hAnsi="Times New Roman"/>
                <w:sz w:val="28"/>
              </w:rPr>
              <w:t>ем, отметить конкретные из них</w:t>
            </w:r>
          </w:p>
        </w:tc>
        <w:tc>
          <w:tcPr>
            <w:tcW w:w="4820" w:type="dxa"/>
          </w:tcPr>
          <w:p w:rsidR="009009CB" w:rsidRDefault="009009CB" w:rsidP="009009CB">
            <w:pPr>
              <w:pStyle w:val="ConsPlusNormal"/>
              <w:numPr>
                <w:ilvl w:val="0"/>
                <w:numId w:val="6"/>
              </w:numPr>
              <w:ind w:left="459"/>
              <w:jc w:val="both"/>
              <w:rPr>
                <w:sz w:val="24"/>
              </w:rPr>
            </w:pPr>
            <w:r w:rsidRPr="00115D20">
              <w:rPr>
                <w:sz w:val="24"/>
              </w:rPr>
              <w:t>Электроэнергетическая система Камчатского края, территория которой является зоной диспетчерской ответственности ПАО «Камчатскэнерго».</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9009CB" w:rsidRDefault="009009CB" w:rsidP="009009CB">
            <w:pPr>
              <w:pStyle w:val="ConsPlusNormal"/>
              <w:numPr>
                <w:ilvl w:val="0"/>
                <w:numId w:val="6"/>
              </w:numPr>
              <w:ind w:left="459"/>
              <w:jc w:val="both"/>
              <w:rPr>
                <w:sz w:val="24"/>
              </w:rPr>
            </w:pPr>
            <w:r w:rsidRPr="00115D20">
              <w:rPr>
                <w:sz w:val="24"/>
              </w:rPr>
              <w:t>Электроэнергетическая система Магаданской области, территория которой является зоной диспетчерской ответственности ПАО «Магаданэнерго».</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9009CB" w:rsidRDefault="009009CB" w:rsidP="009009CB">
            <w:pPr>
              <w:pStyle w:val="ConsPlusNormal"/>
              <w:numPr>
                <w:ilvl w:val="0"/>
                <w:numId w:val="6"/>
              </w:numPr>
              <w:ind w:left="459"/>
              <w:jc w:val="both"/>
              <w:rPr>
                <w:sz w:val="24"/>
              </w:rPr>
            </w:pPr>
            <w:r w:rsidRPr="00115D20">
              <w:rPr>
                <w:sz w:val="24"/>
              </w:rPr>
              <w:t>Западный район электроэнергетической системы Республики Саха (Якутия) (</w:t>
            </w:r>
            <w:proofErr w:type="spellStart"/>
            <w:r w:rsidRPr="00115D20">
              <w:rPr>
                <w:sz w:val="24"/>
              </w:rPr>
              <w:t>Мирнинский</w:t>
            </w:r>
            <w:proofErr w:type="spellEnd"/>
            <w:r w:rsidRPr="00115D20">
              <w:rPr>
                <w:sz w:val="24"/>
              </w:rPr>
              <w:t xml:space="preserve"> и Ленский районы, </w:t>
            </w:r>
            <w:proofErr w:type="spellStart"/>
            <w:r w:rsidRPr="00115D20">
              <w:rPr>
                <w:sz w:val="24"/>
              </w:rPr>
              <w:t>Сунтарский</w:t>
            </w:r>
            <w:proofErr w:type="spellEnd"/>
            <w:r w:rsidRPr="00115D20">
              <w:rPr>
                <w:sz w:val="24"/>
              </w:rPr>
              <w:t xml:space="preserve">, </w:t>
            </w:r>
            <w:proofErr w:type="spellStart"/>
            <w:r w:rsidRPr="00115D20">
              <w:rPr>
                <w:sz w:val="24"/>
              </w:rPr>
              <w:t>Нюрбинский</w:t>
            </w:r>
            <w:proofErr w:type="spellEnd"/>
            <w:r w:rsidRPr="00115D20">
              <w:rPr>
                <w:sz w:val="24"/>
              </w:rPr>
              <w:t xml:space="preserve">, Вилюйский и </w:t>
            </w:r>
            <w:proofErr w:type="spellStart"/>
            <w:r w:rsidRPr="00115D20">
              <w:rPr>
                <w:sz w:val="24"/>
              </w:rPr>
              <w:t>Верхневилюйский</w:t>
            </w:r>
            <w:proofErr w:type="spellEnd"/>
            <w:r w:rsidRPr="00115D20">
              <w:rPr>
                <w:sz w:val="24"/>
              </w:rPr>
              <w:t xml:space="preserve"> улусы (районы)), территория которого является зоной диспетчерской ответственности </w:t>
            </w:r>
            <w:r w:rsidR="00553BDF" w:rsidRPr="00115D20">
              <w:rPr>
                <w:sz w:val="24"/>
              </w:rPr>
              <w:t>П</w:t>
            </w:r>
            <w:r w:rsidRPr="00115D20">
              <w:rPr>
                <w:sz w:val="24"/>
              </w:rPr>
              <w:t>АО «Якутскэнерго».</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9009CB" w:rsidRDefault="009009CB" w:rsidP="009009CB">
            <w:pPr>
              <w:pStyle w:val="ConsPlusNormal"/>
              <w:numPr>
                <w:ilvl w:val="0"/>
                <w:numId w:val="6"/>
              </w:numPr>
              <w:ind w:left="459"/>
              <w:jc w:val="both"/>
              <w:rPr>
                <w:sz w:val="24"/>
              </w:rPr>
            </w:pPr>
            <w:r w:rsidRPr="00115D20">
              <w:rPr>
                <w:sz w:val="24"/>
              </w:rPr>
              <w:t xml:space="preserve">Центральный район электроэнергетической системы Республики Саха (Якутия) (Горный, </w:t>
            </w:r>
            <w:proofErr w:type="spellStart"/>
            <w:r w:rsidRPr="00115D20">
              <w:rPr>
                <w:sz w:val="24"/>
              </w:rPr>
              <w:t>Хангаласский</w:t>
            </w:r>
            <w:proofErr w:type="spellEnd"/>
            <w:r w:rsidRPr="00115D20">
              <w:rPr>
                <w:sz w:val="24"/>
              </w:rPr>
              <w:t xml:space="preserve">, </w:t>
            </w:r>
            <w:proofErr w:type="spellStart"/>
            <w:r w:rsidRPr="00115D20">
              <w:rPr>
                <w:sz w:val="24"/>
              </w:rPr>
              <w:t>Мегино-Кангаласский</w:t>
            </w:r>
            <w:proofErr w:type="spellEnd"/>
            <w:r w:rsidRPr="00115D20">
              <w:rPr>
                <w:sz w:val="24"/>
              </w:rPr>
              <w:t xml:space="preserve">, </w:t>
            </w:r>
            <w:proofErr w:type="spellStart"/>
            <w:r w:rsidRPr="00115D20">
              <w:rPr>
                <w:sz w:val="24"/>
              </w:rPr>
              <w:t>Амгинский</w:t>
            </w:r>
            <w:proofErr w:type="spellEnd"/>
            <w:r w:rsidRPr="00115D20">
              <w:rPr>
                <w:sz w:val="24"/>
              </w:rPr>
              <w:t xml:space="preserve">, </w:t>
            </w:r>
            <w:proofErr w:type="spellStart"/>
            <w:r w:rsidRPr="00115D20">
              <w:rPr>
                <w:sz w:val="24"/>
              </w:rPr>
              <w:t>Чурапчинский</w:t>
            </w:r>
            <w:proofErr w:type="spellEnd"/>
            <w:r w:rsidRPr="00115D20">
              <w:rPr>
                <w:sz w:val="24"/>
              </w:rPr>
              <w:t xml:space="preserve">, </w:t>
            </w:r>
            <w:proofErr w:type="spellStart"/>
            <w:r w:rsidRPr="00115D20">
              <w:rPr>
                <w:sz w:val="24"/>
              </w:rPr>
              <w:t>Усть-Алданский</w:t>
            </w:r>
            <w:proofErr w:type="spellEnd"/>
            <w:r w:rsidRPr="00115D20">
              <w:rPr>
                <w:sz w:val="24"/>
              </w:rPr>
              <w:t xml:space="preserve">, </w:t>
            </w:r>
            <w:proofErr w:type="spellStart"/>
            <w:r w:rsidRPr="00115D20">
              <w:rPr>
                <w:sz w:val="24"/>
              </w:rPr>
              <w:t>Таттинский</w:t>
            </w:r>
            <w:proofErr w:type="spellEnd"/>
            <w:r w:rsidRPr="00115D20">
              <w:rPr>
                <w:sz w:val="24"/>
              </w:rPr>
              <w:t xml:space="preserve">, </w:t>
            </w:r>
            <w:proofErr w:type="spellStart"/>
            <w:r w:rsidRPr="00115D20">
              <w:rPr>
                <w:sz w:val="24"/>
              </w:rPr>
              <w:t>Томпонский</w:t>
            </w:r>
            <w:proofErr w:type="spellEnd"/>
            <w:r w:rsidRPr="00115D20">
              <w:rPr>
                <w:sz w:val="24"/>
              </w:rPr>
              <w:t xml:space="preserve"> и </w:t>
            </w:r>
            <w:proofErr w:type="spellStart"/>
            <w:r w:rsidRPr="00115D20">
              <w:rPr>
                <w:sz w:val="24"/>
              </w:rPr>
              <w:t>Намский</w:t>
            </w:r>
            <w:proofErr w:type="spellEnd"/>
            <w:r w:rsidRPr="00115D20">
              <w:rPr>
                <w:sz w:val="24"/>
              </w:rPr>
              <w:t xml:space="preserve"> улусы (районы), г. Якутск), территория которого является зоной диспетчерской ответственности ПАО «Якутскэнерго».</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9009CB" w:rsidRDefault="009009CB" w:rsidP="009009CB">
            <w:pPr>
              <w:pStyle w:val="ConsPlusNormal"/>
              <w:numPr>
                <w:ilvl w:val="0"/>
                <w:numId w:val="6"/>
              </w:numPr>
              <w:ind w:left="459"/>
              <w:jc w:val="both"/>
              <w:rPr>
                <w:sz w:val="24"/>
              </w:rPr>
            </w:pPr>
            <w:r w:rsidRPr="00115D20">
              <w:rPr>
                <w:sz w:val="24"/>
              </w:rPr>
              <w:t xml:space="preserve">Электроэнергетическая система Сахалинской области, территория которой является зоной </w:t>
            </w:r>
            <w:r w:rsidR="00553BDF" w:rsidRPr="00115D20">
              <w:rPr>
                <w:sz w:val="24"/>
              </w:rPr>
              <w:t>диспетчерской ответственности ОАО «Сахалинэнерго»</w:t>
            </w:r>
            <w:r w:rsidRPr="00115D20">
              <w:rPr>
                <w:sz w:val="24"/>
              </w:rPr>
              <w:t>.</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9009CB" w:rsidRDefault="009009CB" w:rsidP="009009CB">
            <w:pPr>
              <w:pStyle w:val="ConsPlusNormal"/>
              <w:numPr>
                <w:ilvl w:val="0"/>
                <w:numId w:val="6"/>
              </w:numPr>
              <w:ind w:left="459"/>
              <w:jc w:val="both"/>
              <w:rPr>
                <w:sz w:val="24"/>
              </w:rPr>
            </w:pPr>
            <w:r w:rsidRPr="00115D20">
              <w:rPr>
                <w:sz w:val="24"/>
              </w:rPr>
              <w:t xml:space="preserve">Электроэнергетическая система Чукотского автономного округа, территория которой является зоной диспетчерской ответственности </w:t>
            </w:r>
            <w:r w:rsidR="00553BDF" w:rsidRPr="00115D20">
              <w:rPr>
                <w:sz w:val="24"/>
              </w:rPr>
              <w:t>АО «</w:t>
            </w:r>
            <w:proofErr w:type="spellStart"/>
            <w:r w:rsidR="00553BDF" w:rsidRPr="00115D20">
              <w:rPr>
                <w:sz w:val="24"/>
              </w:rPr>
              <w:t>Чукотэнерго</w:t>
            </w:r>
            <w:proofErr w:type="spellEnd"/>
            <w:r w:rsidR="00553BDF" w:rsidRPr="00115D20">
              <w:rPr>
                <w:sz w:val="24"/>
              </w:rPr>
              <w:t>»</w:t>
            </w:r>
            <w:r w:rsidRPr="00115D20">
              <w:rPr>
                <w:sz w:val="24"/>
              </w:rPr>
              <w:t>.</w:t>
            </w:r>
          </w:p>
          <w:p w:rsidR="00E648B9"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p w:rsidR="009009CB" w:rsidRDefault="009009CB" w:rsidP="009009CB">
            <w:pPr>
              <w:pStyle w:val="ConsPlusNormal"/>
              <w:numPr>
                <w:ilvl w:val="0"/>
                <w:numId w:val="6"/>
              </w:numPr>
              <w:ind w:left="459"/>
              <w:jc w:val="both"/>
              <w:rPr>
                <w:sz w:val="24"/>
              </w:rPr>
            </w:pPr>
            <w:r w:rsidRPr="00115D20">
              <w:rPr>
                <w:sz w:val="24"/>
              </w:rPr>
              <w:t>Электроэнергетическая система Таймырского (Долгано-Ненецкого) автономного округа, территория которой является зоной диспетчерской ответственности открытого акционерного общества энергетики и электриф</w:t>
            </w:r>
            <w:r w:rsidR="00553BDF" w:rsidRPr="00115D20">
              <w:rPr>
                <w:sz w:val="24"/>
              </w:rPr>
              <w:t>икации «</w:t>
            </w:r>
            <w:proofErr w:type="spellStart"/>
            <w:r w:rsidR="00553BDF" w:rsidRPr="00115D20">
              <w:rPr>
                <w:sz w:val="24"/>
              </w:rPr>
              <w:t>Таймырэнерго</w:t>
            </w:r>
            <w:proofErr w:type="spellEnd"/>
            <w:r w:rsidR="00553BDF" w:rsidRPr="00115D20">
              <w:rPr>
                <w:sz w:val="24"/>
              </w:rPr>
              <w:t>»</w:t>
            </w:r>
            <w:r w:rsidRPr="00115D20">
              <w:rPr>
                <w:sz w:val="24"/>
              </w:rPr>
              <w:t>.</w:t>
            </w:r>
          </w:p>
          <w:p w:rsidR="00E648B9" w:rsidRPr="00E648B9" w:rsidRDefault="00E648B9" w:rsidP="00E648B9">
            <w:pPr>
              <w:pStyle w:val="ConsPlusNormal"/>
              <w:ind w:left="317"/>
              <w:jc w:val="both"/>
              <w:rPr>
                <w:b/>
                <w:sz w:val="24"/>
                <w:u w:val="single"/>
              </w:rPr>
            </w:pPr>
            <w:r w:rsidRPr="00E648B9">
              <w:rPr>
                <w:b/>
                <w:sz w:val="24"/>
                <w:u w:val="single"/>
              </w:rPr>
              <w:lastRenderedPageBreak/>
              <w:t>Да</w:t>
            </w:r>
            <w:proofErr w:type="gramStart"/>
            <w:r w:rsidRPr="00E648B9">
              <w:rPr>
                <w:b/>
                <w:sz w:val="24"/>
                <w:u w:val="single"/>
              </w:rPr>
              <w:t>/Н</w:t>
            </w:r>
            <w:proofErr w:type="gramEnd"/>
            <w:r w:rsidRPr="00E648B9">
              <w:rPr>
                <w:b/>
                <w:sz w:val="24"/>
                <w:u w:val="single"/>
              </w:rPr>
              <w:t>ет</w:t>
            </w:r>
            <w:r w:rsidR="0084703A">
              <w:rPr>
                <w:b/>
                <w:sz w:val="24"/>
                <w:u w:val="single"/>
              </w:rPr>
              <w:t>*</w:t>
            </w:r>
          </w:p>
          <w:p w:rsidR="00E97489" w:rsidRPr="00115D20" w:rsidRDefault="009009CB" w:rsidP="009009CB">
            <w:pPr>
              <w:pStyle w:val="ConsPlusNormal"/>
              <w:numPr>
                <w:ilvl w:val="0"/>
                <w:numId w:val="6"/>
              </w:numPr>
              <w:ind w:left="459"/>
              <w:jc w:val="both"/>
            </w:pPr>
            <w:r w:rsidRPr="00115D20">
              <w:rPr>
                <w:sz w:val="24"/>
              </w:rPr>
              <w:t>Электроэнергетическая система Республики Крым и г. Севастополя, территория которой является зоной диспетчерской ответственности государст</w:t>
            </w:r>
            <w:r w:rsidR="00553BDF" w:rsidRPr="00115D20">
              <w:rPr>
                <w:sz w:val="24"/>
              </w:rPr>
              <w:t>венного унитарного предприятия «</w:t>
            </w:r>
            <w:proofErr w:type="spellStart"/>
            <w:r w:rsidR="00553BDF" w:rsidRPr="00115D20">
              <w:rPr>
                <w:sz w:val="24"/>
              </w:rPr>
              <w:t>Крымэнерго</w:t>
            </w:r>
            <w:proofErr w:type="spellEnd"/>
            <w:r w:rsidR="00553BDF" w:rsidRPr="00115D20">
              <w:rPr>
                <w:sz w:val="24"/>
              </w:rPr>
              <w:t>»</w:t>
            </w:r>
            <w:r w:rsidRPr="00115D20">
              <w:rPr>
                <w:sz w:val="24"/>
              </w:rPr>
              <w:t>.</w:t>
            </w:r>
          </w:p>
          <w:p w:rsidR="00115D20" w:rsidRPr="00E648B9" w:rsidRDefault="00E648B9" w:rsidP="00E648B9">
            <w:pPr>
              <w:pStyle w:val="ConsPlusNormal"/>
              <w:ind w:left="317"/>
              <w:jc w:val="both"/>
              <w:rPr>
                <w:b/>
                <w:sz w:val="24"/>
                <w:u w:val="single"/>
              </w:rPr>
            </w:pPr>
            <w:r w:rsidRPr="00E648B9">
              <w:rPr>
                <w:b/>
                <w:sz w:val="24"/>
                <w:u w:val="single"/>
              </w:rPr>
              <w:t>Да</w:t>
            </w:r>
            <w:proofErr w:type="gramStart"/>
            <w:r w:rsidRPr="00E648B9">
              <w:rPr>
                <w:b/>
                <w:sz w:val="24"/>
                <w:u w:val="single"/>
              </w:rPr>
              <w:t>/Н</w:t>
            </w:r>
            <w:proofErr w:type="gramEnd"/>
            <w:r w:rsidRPr="00E648B9">
              <w:rPr>
                <w:b/>
                <w:sz w:val="24"/>
                <w:u w:val="single"/>
              </w:rPr>
              <w:t>ет</w:t>
            </w:r>
            <w:r w:rsidR="0084703A">
              <w:rPr>
                <w:b/>
                <w:sz w:val="24"/>
                <w:u w:val="single"/>
              </w:rPr>
              <w:t>*</w:t>
            </w:r>
          </w:p>
        </w:tc>
      </w:tr>
      <w:tr w:rsidR="00553BDF" w:rsidRPr="00553BDF" w:rsidTr="00115D20">
        <w:tc>
          <w:tcPr>
            <w:tcW w:w="10173" w:type="dxa"/>
            <w:gridSpan w:val="2"/>
          </w:tcPr>
          <w:p w:rsidR="00553BDF" w:rsidRPr="00553BDF" w:rsidRDefault="00553BDF" w:rsidP="00553BDF">
            <w:pPr>
              <w:pStyle w:val="a4"/>
              <w:numPr>
                <w:ilvl w:val="0"/>
                <w:numId w:val="3"/>
              </w:numPr>
              <w:jc w:val="center"/>
              <w:rPr>
                <w:rFonts w:ascii="Times New Roman" w:hAnsi="Times New Roman"/>
                <w:b/>
                <w:sz w:val="28"/>
              </w:rPr>
            </w:pPr>
            <w:r w:rsidRPr="00553BDF">
              <w:rPr>
                <w:rFonts w:ascii="Times New Roman" w:hAnsi="Times New Roman"/>
                <w:b/>
                <w:sz w:val="28"/>
              </w:rPr>
              <w:lastRenderedPageBreak/>
              <w:t>Перечни субъектов Российской Федерации, на территории которых предусмотрена реализация мероприятий проекта ИПР</w:t>
            </w:r>
          </w:p>
        </w:tc>
      </w:tr>
      <w:tr w:rsidR="00AD4046" w:rsidTr="00115D20">
        <w:tc>
          <w:tcPr>
            <w:tcW w:w="5353" w:type="dxa"/>
          </w:tcPr>
          <w:p w:rsidR="00AD4046" w:rsidRPr="00CA3E30" w:rsidRDefault="00CA3E30" w:rsidP="00CA3E30">
            <w:pPr>
              <w:pStyle w:val="a4"/>
              <w:numPr>
                <w:ilvl w:val="1"/>
                <w:numId w:val="3"/>
              </w:numPr>
              <w:rPr>
                <w:rFonts w:ascii="Times New Roman" w:hAnsi="Times New Roman"/>
                <w:sz w:val="28"/>
              </w:rPr>
            </w:pPr>
            <w:r>
              <w:rPr>
                <w:rFonts w:ascii="Times New Roman" w:hAnsi="Times New Roman"/>
                <w:sz w:val="28"/>
              </w:rPr>
              <w:t>С</w:t>
            </w:r>
            <w:r w:rsidR="00553BDF" w:rsidRPr="00CA3E30">
              <w:rPr>
                <w:rFonts w:ascii="Times New Roman" w:hAnsi="Times New Roman"/>
                <w:sz w:val="28"/>
              </w:rPr>
              <w:t>убъект</w:t>
            </w:r>
            <w:r>
              <w:rPr>
                <w:rFonts w:ascii="Times New Roman" w:hAnsi="Times New Roman"/>
                <w:sz w:val="28"/>
              </w:rPr>
              <w:t>ы</w:t>
            </w:r>
            <w:r w:rsidR="00553BDF" w:rsidRPr="00CA3E30">
              <w:rPr>
                <w:rFonts w:ascii="Times New Roman" w:hAnsi="Times New Roman"/>
                <w:sz w:val="28"/>
              </w:rPr>
              <w:t xml:space="preserve"> Российской Федерации, на территории которых проектом </w:t>
            </w:r>
            <w:r>
              <w:rPr>
                <w:rFonts w:ascii="Times New Roman" w:hAnsi="Times New Roman"/>
                <w:sz w:val="28"/>
              </w:rPr>
              <w:t>ИПР субъекта электроэнергетики</w:t>
            </w:r>
            <w:r w:rsidR="00553BDF" w:rsidRPr="00CA3E30">
              <w:rPr>
                <w:rFonts w:ascii="Times New Roman" w:hAnsi="Times New Roman"/>
                <w:sz w:val="28"/>
              </w:rPr>
              <w:t xml:space="preserve">, предусматривается реализация инвестиционных проектов </w:t>
            </w:r>
          </w:p>
        </w:tc>
        <w:tc>
          <w:tcPr>
            <w:tcW w:w="4820" w:type="dxa"/>
          </w:tcPr>
          <w:p w:rsidR="00AD4046" w:rsidRDefault="00CA3E30" w:rsidP="00CA3E30">
            <w:pPr>
              <w:rPr>
                <w:rFonts w:ascii="Times New Roman" w:hAnsi="Times New Roman"/>
                <w:sz w:val="28"/>
              </w:rPr>
            </w:pPr>
            <w:r>
              <w:rPr>
                <w:rFonts w:ascii="Times New Roman" w:hAnsi="Times New Roman"/>
                <w:sz w:val="28"/>
              </w:rPr>
              <w:t>Перечень с</w:t>
            </w:r>
            <w:r w:rsidRPr="00CA3E30">
              <w:rPr>
                <w:rFonts w:ascii="Times New Roman" w:hAnsi="Times New Roman"/>
                <w:sz w:val="28"/>
              </w:rPr>
              <w:t>убъект</w:t>
            </w:r>
            <w:r>
              <w:rPr>
                <w:rFonts w:ascii="Times New Roman" w:hAnsi="Times New Roman"/>
                <w:sz w:val="28"/>
              </w:rPr>
              <w:t>ов</w:t>
            </w:r>
            <w:r w:rsidRPr="00CA3E30">
              <w:rPr>
                <w:rFonts w:ascii="Times New Roman" w:hAnsi="Times New Roman"/>
                <w:sz w:val="28"/>
              </w:rPr>
              <w:t xml:space="preserve"> Российской Федерации</w:t>
            </w:r>
          </w:p>
        </w:tc>
      </w:tr>
      <w:tr w:rsidR="00AD4046" w:rsidTr="00115D20">
        <w:tc>
          <w:tcPr>
            <w:tcW w:w="5353" w:type="dxa"/>
          </w:tcPr>
          <w:p w:rsidR="00AD4046" w:rsidRDefault="00CA3E30" w:rsidP="00AD4046">
            <w:pPr>
              <w:pStyle w:val="a4"/>
              <w:numPr>
                <w:ilvl w:val="1"/>
                <w:numId w:val="3"/>
              </w:numPr>
              <w:rPr>
                <w:rFonts w:ascii="Times New Roman" w:hAnsi="Times New Roman"/>
                <w:sz w:val="28"/>
              </w:rPr>
            </w:pPr>
            <w:proofErr w:type="gramStart"/>
            <w:r>
              <w:rPr>
                <w:rFonts w:ascii="Times New Roman" w:hAnsi="Times New Roman"/>
                <w:sz w:val="28"/>
              </w:rPr>
              <w:t>С</w:t>
            </w:r>
            <w:r w:rsidR="00553BDF" w:rsidRPr="00553BDF">
              <w:rPr>
                <w:rFonts w:ascii="Times New Roman" w:hAnsi="Times New Roman"/>
                <w:sz w:val="28"/>
              </w:rPr>
              <w:t>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roofErr w:type="gramEnd"/>
          </w:p>
        </w:tc>
        <w:tc>
          <w:tcPr>
            <w:tcW w:w="4820" w:type="dxa"/>
          </w:tcPr>
          <w:p w:rsidR="00AD4046" w:rsidRDefault="00CA3E30">
            <w:pPr>
              <w:rPr>
                <w:rFonts w:ascii="Times New Roman" w:hAnsi="Times New Roman"/>
                <w:sz w:val="28"/>
              </w:rPr>
            </w:pPr>
            <w:r>
              <w:rPr>
                <w:rFonts w:ascii="Times New Roman" w:hAnsi="Times New Roman"/>
                <w:sz w:val="28"/>
              </w:rPr>
              <w:t>Перечень с</w:t>
            </w:r>
            <w:r w:rsidRPr="00CA3E30">
              <w:rPr>
                <w:rFonts w:ascii="Times New Roman" w:hAnsi="Times New Roman"/>
                <w:sz w:val="28"/>
              </w:rPr>
              <w:t>убъект</w:t>
            </w:r>
            <w:r>
              <w:rPr>
                <w:rFonts w:ascii="Times New Roman" w:hAnsi="Times New Roman"/>
                <w:sz w:val="28"/>
              </w:rPr>
              <w:t>ов</w:t>
            </w:r>
            <w:r w:rsidRPr="00CA3E30">
              <w:rPr>
                <w:rFonts w:ascii="Times New Roman" w:hAnsi="Times New Roman"/>
                <w:sz w:val="28"/>
              </w:rPr>
              <w:t xml:space="preserve"> Российской Федерации</w:t>
            </w:r>
          </w:p>
        </w:tc>
      </w:tr>
      <w:tr w:rsidR="00657059" w:rsidRPr="00657059" w:rsidTr="001579F0">
        <w:tc>
          <w:tcPr>
            <w:tcW w:w="10173" w:type="dxa"/>
            <w:gridSpan w:val="2"/>
          </w:tcPr>
          <w:p w:rsidR="00657059" w:rsidRPr="00657059" w:rsidRDefault="00657059" w:rsidP="00657059">
            <w:pPr>
              <w:pStyle w:val="a4"/>
              <w:numPr>
                <w:ilvl w:val="0"/>
                <w:numId w:val="3"/>
              </w:numPr>
              <w:jc w:val="center"/>
              <w:rPr>
                <w:rFonts w:ascii="Times New Roman" w:hAnsi="Times New Roman"/>
                <w:b/>
                <w:sz w:val="28"/>
              </w:rPr>
            </w:pPr>
            <w:r w:rsidRPr="00657059">
              <w:rPr>
                <w:rFonts w:ascii="Times New Roman" w:hAnsi="Times New Roman"/>
                <w:b/>
                <w:sz w:val="28"/>
              </w:rPr>
              <w:t>Приложения к заявлению</w:t>
            </w:r>
            <w:r w:rsidR="00F36717">
              <w:rPr>
                <w:rFonts w:ascii="Times New Roman" w:hAnsi="Times New Roman"/>
                <w:b/>
                <w:sz w:val="28"/>
              </w:rPr>
              <w:t xml:space="preserve"> (для всех заявителей, кроме сетевых организаций)</w:t>
            </w:r>
          </w:p>
        </w:tc>
      </w:tr>
      <w:tr w:rsidR="00657059" w:rsidTr="00115D20">
        <w:tc>
          <w:tcPr>
            <w:tcW w:w="5353" w:type="dxa"/>
          </w:tcPr>
          <w:p w:rsidR="00657059" w:rsidRPr="00657059" w:rsidRDefault="00657059" w:rsidP="00657059">
            <w:pPr>
              <w:pStyle w:val="ConsPlusNormal"/>
              <w:numPr>
                <w:ilvl w:val="0"/>
                <w:numId w:val="9"/>
              </w:numPr>
              <w:ind w:left="426"/>
              <w:jc w:val="both"/>
              <w:rPr>
                <w:sz w:val="24"/>
              </w:rPr>
            </w:pPr>
            <w:proofErr w:type="gramStart"/>
            <w:r w:rsidRPr="00657059">
              <w:rPr>
                <w:sz w:val="24"/>
              </w:rPr>
              <w:t xml:space="preserve">финансовый план субъекта электроэнергетики, составленный на период реализации проекта </w:t>
            </w:r>
            <w:r w:rsidR="00A240FE">
              <w:rPr>
                <w:sz w:val="24"/>
              </w:rPr>
              <w:t>ИПР</w:t>
            </w:r>
            <w:r w:rsidRPr="00657059">
              <w:rPr>
                <w:sz w:val="24"/>
              </w:rPr>
              <w:t xml:space="preserve"> с разделением по видам деятельности, в том числе регулируемым государством, начиная с 1-го года реализации проекта инвестиционной программы,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w:t>
            </w:r>
            <w:r w:rsidRPr="00657059">
              <w:rPr>
                <w:sz w:val="24"/>
              </w:rPr>
              <w:lastRenderedPageBreak/>
              <w:t>и текущий годы;</w:t>
            </w:r>
            <w:proofErr w:type="gramEnd"/>
          </w:p>
          <w:p w:rsidR="00657059" w:rsidRPr="00657059" w:rsidRDefault="00657059" w:rsidP="00657059">
            <w:pPr>
              <w:pStyle w:val="ConsPlusNormal"/>
              <w:numPr>
                <w:ilvl w:val="0"/>
                <w:numId w:val="9"/>
              </w:numPr>
              <w:ind w:left="426"/>
              <w:jc w:val="both"/>
              <w:rPr>
                <w:sz w:val="24"/>
              </w:rPr>
            </w:pPr>
            <w:r w:rsidRPr="00657059">
              <w:rPr>
                <w:sz w:val="24"/>
              </w:rPr>
              <w:t xml:space="preserve">материалы, обосновывающие стоимость инвестиционных проектов, предусмотренных проектом инвестиционной программы, в том числе пояснительная записка, сметные расчеты и иные </w:t>
            </w:r>
            <w:proofErr w:type="gramStart"/>
            <w:r w:rsidRPr="00657059">
              <w:rPr>
                <w:sz w:val="24"/>
              </w:rPr>
              <w:t>документы</w:t>
            </w:r>
            <w:proofErr w:type="gramEnd"/>
            <w:r w:rsidRPr="00657059">
              <w:rPr>
                <w:sz w:val="24"/>
              </w:rPr>
              <w:t xml:space="preserve"> и расчеты, которые, по мнению субъекта электроэнергетики, могут служить обоснованием стоимости указанных инвестиционных проектов;</w:t>
            </w:r>
          </w:p>
          <w:p w:rsidR="00657059" w:rsidRPr="00657059" w:rsidRDefault="00657059" w:rsidP="00657059">
            <w:pPr>
              <w:pStyle w:val="ConsPlusNormal"/>
              <w:numPr>
                <w:ilvl w:val="0"/>
                <w:numId w:val="9"/>
              </w:numPr>
              <w:ind w:left="426"/>
              <w:jc w:val="both"/>
              <w:rPr>
                <w:sz w:val="24"/>
              </w:rPr>
            </w:pPr>
            <w:r w:rsidRPr="00657059">
              <w:rPr>
                <w:sz w:val="24"/>
              </w:rP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657059" w:rsidRPr="00657059" w:rsidRDefault="00657059" w:rsidP="00657059">
            <w:pPr>
              <w:pStyle w:val="ConsPlusNormal"/>
              <w:numPr>
                <w:ilvl w:val="0"/>
                <w:numId w:val="9"/>
              </w:numPr>
              <w:ind w:left="426"/>
              <w:jc w:val="both"/>
              <w:rPr>
                <w:sz w:val="24"/>
              </w:rPr>
            </w:pPr>
            <w:r w:rsidRPr="00657059">
              <w:rPr>
                <w:sz w:val="24"/>
              </w:rPr>
              <w:t>паспорта инвестиционных проектов, предусмотренных проектом инвестиционной программы;</w:t>
            </w:r>
          </w:p>
          <w:p w:rsidR="00657059" w:rsidRPr="00657059" w:rsidRDefault="00657059" w:rsidP="00657059">
            <w:pPr>
              <w:pStyle w:val="ConsPlusNormal"/>
              <w:numPr>
                <w:ilvl w:val="0"/>
                <w:numId w:val="9"/>
              </w:numPr>
              <w:ind w:left="426"/>
              <w:jc w:val="both"/>
            </w:pPr>
            <w:r w:rsidRPr="00657059">
              <w:rPr>
                <w:sz w:val="24"/>
              </w:rPr>
              <w:t>информация о согласовании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 Государственной корпорацией по а</w:t>
            </w:r>
            <w:r w:rsidR="00A240FE">
              <w:rPr>
                <w:sz w:val="24"/>
              </w:rPr>
              <w:t>томной энергии «</w:t>
            </w:r>
            <w:proofErr w:type="spellStart"/>
            <w:r w:rsidR="00A240FE">
              <w:rPr>
                <w:sz w:val="24"/>
              </w:rPr>
              <w:t>Росатом</w:t>
            </w:r>
            <w:proofErr w:type="spellEnd"/>
            <w:r w:rsidR="00A240FE">
              <w:rPr>
                <w:sz w:val="24"/>
              </w:rPr>
              <w:t>»</w:t>
            </w:r>
            <w:r w:rsidRPr="00657059">
              <w:rPr>
                <w:sz w:val="24"/>
              </w:rPr>
              <w:t>.</w:t>
            </w:r>
          </w:p>
        </w:tc>
        <w:tc>
          <w:tcPr>
            <w:tcW w:w="4820" w:type="dxa"/>
          </w:tcPr>
          <w:p w:rsidR="00657059" w:rsidRDefault="00657059">
            <w:pPr>
              <w:rPr>
                <w:rFonts w:ascii="Times New Roman" w:hAnsi="Times New Roman"/>
                <w:sz w:val="28"/>
              </w:rPr>
            </w:pPr>
            <w:r w:rsidRPr="00657059">
              <w:rPr>
                <w:rFonts w:ascii="Times New Roman" w:hAnsi="Times New Roman"/>
                <w:sz w:val="28"/>
              </w:rPr>
              <w:lastRenderedPageBreak/>
              <w:t>Приложение на электронном носителе</w:t>
            </w:r>
            <w:r w:rsidR="007F5CEA">
              <w:rPr>
                <w:rFonts w:ascii="Times New Roman" w:hAnsi="Times New Roman"/>
                <w:sz w:val="28"/>
              </w:rPr>
              <w:t>**</w:t>
            </w:r>
          </w:p>
        </w:tc>
      </w:tr>
    </w:tbl>
    <w:p w:rsidR="00737284" w:rsidRDefault="00737284">
      <w:pPr>
        <w:rPr>
          <w:rFonts w:ascii="Times New Roman" w:hAnsi="Times New Roman"/>
          <w:sz w:val="28"/>
        </w:rPr>
      </w:pPr>
    </w:p>
    <w:p w:rsidR="00737284" w:rsidRPr="007F5CEA" w:rsidRDefault="0084703A">
      <w:pPr>
        <w:rPr>
          <w:rFonts w:ascii="Times New Roman" w:hAnsi="Times New Roman" w:cs="Times New Roman"/>
          <w:i/>
          <w:sz w:val="28"/>
          <w:lang w:val="en-US"/>
        </w:rPr>
      </w:pPr>
      <w:r w:rsidRPr="007F5CEA">
        <w:rPr>
          <w:rFonts w:ascii="Times New Roman" w:hAnsi="Times New Roman" w:cs="Times New Roman"/>
          <w:i/>
          <w:sz w:val="28"/>
        </w:rPr>
        <w:t>*указать один вариант ответа</w:t>
      </w:r>
    </w:p>
    <w:p w:rsidR="007F5CEA" w:rsidRPr="007F5CEA" w:rsidRDefault="007F5CEA" w:rsidP="007F5CEA">
      <w:pPr>
        <w:pStyle w:val="ConsPlusNormal"/>
        <w:jc w:val="both"/>
        <w:rPr>
          <w:i/>
        </w:rPr>
      </w:pPr>
      <w:r w:rsidRPr="007F5CEA">
        <w:rPr>
          <w:i/>
        </w:rPr>
        <w:t>**представляется в форме электронн</w:t>
      </w:r>
      <w:r>
        <w:rPr>
          <w:i/>
        </w:rPr>
        <w:t>ых</w:t>
      </w:r>
      <w:r w:rsidRPr="007F5CEA">
        <w:rPr>
          <w:i/>
        </w:rPr>
        <w:t xml:space="preserve"> документ</w:t>
      </w:r>
      <w:r>
        <w:rPr>
          <w:i/>
        </w:rPr>
        <w:t>ов</w:t>
      </w:r>
      <w:r w:rsidRPr="007F5CEA">
        <w:rPr>
          <w:i/>
        </w:rPr>
        <w:t>, подписанн</w:t>
      </w:r>
      <w:r>
        <w:rPr>
          <w:i/>
        </w:rPr>
        <w:t>ых</w:t>
      </w:r>
      <w:r w:rsidRPr="007F5CEA">
        <w:rPr>
          <w:i/>
        </w:rPr>
        <w:t xml:space="preserve"> с использованием усиленной квалифицированной электронной подписи</w:t>
      </w:r>
    </w:p>
    <w:p w:rsidR="007F5CEA" w:rsidRPr="007F5CEA" w:rsidRDefault="007F5CEA">
      <w:pPr>
        <w:rPr>
          <w:rFonts w:ascii="Times New Roman" w:hAnsi="Times New Roman" w:cs="Times New Roman"/>
          <w:i/>
          <w:sz w:val="28"/>
        </w:rPr>
      </w:pPr>
    </w:p>
    <w:sectPr w:rsidR="007F5CEA" w:rsidRPr="007F5CEA" w:rsidSect="00115D20">
      <w:headerReference w:type="default" r:id="rId13"/>
      <w:pgSz w:w="11906" w:h="16838"/>
      <w:pgMar w:top="1134" w:right="851"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33" w:rsidRDefault="00EF2F33" w:rsidP="009009CB">
      <w:pPr>
        <w:spacing w:after="0" w:line="240" w:lineRule="auto"/>
      </w:pPr>
      <w:r>
        <w:separator/>
      </w:r>
    </w:p>
  </w:endnote>
  <w:endnote w:type="continuationSeparator" w:id="0">
    <w:p w:rsidR="00EF2F33" w:rsidRDefault="00EF2F33" w:rsidP="0090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33" w:rsidRDefault="00EF2F33" w:rsidP="009009CB">
      <w:pPr>
        <w:spacing w:after="0" w:line="240" w:lineRule="auto"/>
      </w:pPr>
      <w:r>
        <w:separator/>
      </w:r>
    </w:p>
  </w:footnote>
  <w:footnote w:type="continuationSeparator" w:id="0">
    <w:p w:rsidR="00EF2F33" w:rsidRDefault="00EF2F33" w:rsidP="00900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78664"/>
      <w:docPartObj>
        <w:docPartGallery w:val="Page Numbers (Top of Page)"/>
        <w:docPartUnique/>
      </w:docPartObj>
    </w:sdtPr>
    <w:sdtEndPr>
      <w:rPr>
        <w:rFonts w:ascii="Times New Roman" w:hAnsi="Times New Roman" w:cs="Times New Roman"/>
        <w:sz w:val="28"/>
      </w:rPr>
    </w:sdtEndPr>
    <w:sdtContent>
      <w:p w:rsidR="009009CB" w:rsidRPr="009009CB" w:rsidRDefault="00BA3210">
        <w:pPr>
          <w:pStyle w:val="a5"/>
          <w:jc w:val="center"/>
          <w:rPr>
            <w:rFonts w:ascii="Times New Roman" w:hAnsi="Times New Roman" w:cs="Times New Roman"/>
            <w:sz w:val="28"/>
          </w:rPr>
        </w:pPr>
        <w:r w:rsidRPr="009009CB">
          <w:rPr>
            <w:rFonts w:ascii="Times New Roman" w:hAnsi="Times New Roman" w:cs="Times New Roman"/>
            <w:sz w:val="28"/>
          </w:rPr>
          <w:fldChar w:fldCharType="begin"/>
        </w:r>
        <w:r w:rsidR="009009CB" w:rsidRPr="009009CB">
          <w:rPr>
            <w:rFonts w:ascii="Times New Roman" w:hAnsi="Times New Roman" w:cs="Times New Roman"/>
            <w:sz w:val="28"/>
          </w:rPr>
          <w:instrText>PAGE   \* MERGEFORMAT</w:instrText>
        </w:r>
        <w:r w:rsidRPr="009009CB">
          <w:rPr>
            <w:rFonts w:ascii="Times New Roman" w:hAnsi="Times New Roman" w:cs="Times New Roman"/>
            <w:sz w:val="28"/>
          </w:rPr>
          <w:fldChar w:fldCharType="separate"/>
        </w:r>
        <w:r w:rsidR="003637D6">
          <w:rPr>
            <w:rFonts w:ascii="Times New Roman" w:hAnsi="Times New Roman" w:cs="Times New Roman"/>
            <w:noProof/>
            <w:sz w:val="28"/>
          </w:rPr>
          <w:t>9</w:t>
        </w:r>
        <w:r w:rsidRPr="009009CB">
          <w:rPr>
            <w:rFonts w:ascii="Times New Roman" w:hAnsi="Times New Roman" w:cs="Times New Roman"/>
            <w:sz w:val="28"/>
          </w:rPr>
          <w:fldChar w:fldCharType="end"/>
        </w:r>
      </w:p>
    </w:sdtContent>
  </w:sdt>
  <w:p w:rsidR="009009CB" w:rsidRDefault="009009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D49"/>
    <w:multiLevelType w:val="hybridMultilevel"/>
    <w:tmpl w:val="FE581C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6A1866"/>
    <w:multiLevelType w:val="hybridMultilevel"/>
    <w:tmpl w:val="695EC6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7E01379"/>
    <w:multiLevelType w:val="hybridMultilevel"/>
    <w:tmpl w:val="60E0D4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AA601F"/>
    <w:multiLevelType w:val="hybridMultilevel"/>
    <w:tmpl w:val="0480E592"/>
    <w:lvl w:ilvl="0" w:tplc="7BF6271E">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7344E00"/>
    <w:multiLevelType w:val="hybridMultilevel"/>
    <w:tmpl w:val="502C1DF6"/>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7816884"/>
    <w:multiLevelType w:val="hybridMultilevel"/>
    <w:tmpl w:val="A12697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510C6F"/>
    <w:multiLevelType w:val="multilevel"/>
    <w:tmpl w:val="67F2362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B474DB2"/>
    <w:multiLevelType w:val="hybridMultilevel"/>
    <w:tmpl w:val="612680AC"/>
    <w:lvl w:ilvl="0" w:tplc="022003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FB4F7F"/>
    <w:multiLevelType w:val="hybridMultilevel"/>
    <w:tmpl w:val="38B2984E"/>
    <w:lvl w:ilvl="0" w:tplc="97562F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1538C9"/>
    <w:multiLevelType w:val="hybridMultilevel"/>
    <w:tmpl w:val="6EECB4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0381E"/>
    <w:multiLevelType w:val="multilevel"/>
    <w:tmpl w:val="234C6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0"/>
  </w:num>
  <w:num w:numId="3">
    <w:abstractNumId w:val="6"/>
  </w:num>
  <w:num w:numId="4">
    <w:abstractNumId w:val="5"/>
  </w:num>
  <w:num w:numId="5">
    <w:abstractNumId w:val="4"/>
  </w:num>
  <w:num w:numId="6">
    <w:abstractNumId w:val="0"/>
  </w:num>
  <w:num w:numId="7">
    <w:abstractNumId w:val="9"/>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7F10"/>
    <w:rsid w:val="000C1376"/>
    <w:rsid w:val="001077EB"/>
    <w:rsid w:val="00115D20"/>
    <w:rsid w:val="001E5BFE"/>
    <w:rsid w:val="002B7F10"/>
    <w:rsid w:val="003637D6"/>
    <w:rsid w:val="004F01FA"/>
    <w:rsid w:val="004F0422"/>
    <w:rsid w:val="00553BDF"/>
    <w:rsid w:val="006164E6"/>
    <w:rsid w:val="006233CE"/>
    <w:rsid w:val="00657059"/>
    <w:rsid w:val="0069525A"/>
    <w:rsid w:val="006E60E9"/>
    <w:rsid w:val="00737284"/>
    <w:rsid w:val="00776118"/>
    <w:rsid w:val="007F5CEA"/>
    <w:rsid w:val="0084703A"/>
    <w:rsid w:val="009009CB"/>
    <w:rsid w:val="009B79AB"/>
    <w:rsid w:val="00A240FE"/>
    <w:rsid w:val="00A25F08"/>
    <w:rsid w:val="00AD4046"/>
    <w:rsid w:val="00B4625F"/>
    <w:rsid w:val="00B46659"/>
    <w:rsid w:val="00BA3210"/>
    <w:rsid w:val="00CA3E30"/>
    <w:rsid w:val="00E648B9"/>
    <w:rsid w:val="00E92A6E"/>
    <w:rsid w:val="00E97489"/>
    <w:rsid w:val="00EF2F33"/>
    <w:rsid w:val="00F36717"/>
    <w:rsid w:val="00F67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7284"/>
    <w:pPr>
      <w:ind w:left="720"/>
      <w:contextualSpacing/>
    </w:pPr>
  </w:style>
  <w:style w:type="paragraph" w:customStyle="1" w:styleId="ConsPlusNormal">
    <w:name w:val="ConsPlusNormal"/>
    <w:rsid w:val="00B46659"/>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9009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09CB"/>
  </w:style>
  <w:style w:type="paragraph" w:styleId="a7">
    <w:name w:val="footer"/>
    <w:basedOn w:val="a"/>
    <w:link w:val="a8"/>
    <w:uiPriority w:val="99"/>
    <w:unhideWhenUsed/>
    <w:rsid w:val="009009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0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7284"/>
    <w:pPr>
      <w:ind w:left="720"/>
      <w:contextualSpacing/>
    </w:pPr>
  </w:style>
  <w:style w:type="paragraph" w:customStyle="1" w:styleId="ConsPlusNormal">
    <w:name w:val="ConsPlusNormal"/>
    <w:rsid w:val="00B46659"/>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9009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09CB"/>
  </w:style>
  <w:style w:type="paragraph" w:styleId="a7">
    <w:name w:val="footer"/>
    <w:basedOn w:val="a"/>
    <w:link w:val="a8"/>
    <w:uiPriority w:val="99"/>
    <w:unhideWhenUsed/>
    <w:rsid w:val="009009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F24C34B6962D56BD208E732BA6FB59C2C0F43FF28F67616E25DD9801AD6387CF0840EB9BAEU9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F24C34B6962D56BD208E732BA6FB59C2C0F43FF28F67616E25DD9801AAUD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EC00A926D4779D4999B0B5F05DC1ECBB087B153225717CA710678C95E41EE95C83ED46238qFP8R" TargetMode="External"/><Relationship Id="rId4" Type="http://schemas.microsoft.com/office/2007/relationships/stylesWithEffects" Target="stylesWithEffects.xml"/><Relationship Id="rId9" Type="http://schemas.openxmlformats.org/officeDocument/2006/relationships/hyperlink" Target="consultantplus://offline/ref=4EC00A926D4779D4999B0B5F05DC1ECBB087B153225717CA710678C95Eq4P1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7DFD-2D51-4AD9-AABE-A6EFFD0F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Черкаева Светлана Васильевна</dc:creator>
  <cp:lastModifiedBy>Лопатникова Марина Викторовна</cp:lastModifiedBy>
  <cp:revision>14</cp:revision>
  <dcterms:created xsi:type="dcterms:W3CDTF">2016-01-25T14:49:00Z</dcterms:created>
  <dcterms:modified xsi:type="dcterms:W3CDTF">2016-03-16T23:53:00Z</dcterms:modified>
</cp:coreProperties>
</file>