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BE2B41" w:rsidRPr="00BE2B41" w:rsidTr="008B442E">
        <w:trPr>
          <w:trHeight w:val="1519"/>
        </w:trPr>
        <w:tc>
          <w:tcPr>
            <w:tcW w:w="9462" w:type="dxa"/>
          </w:tcPr>
          <w:p w:rsidR="00BE2B41" w:rsidRPr="00BE2B41" w:rsidRDefault="00BE2B41" w:rsidP="00BE2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4525" cy="810260"/>
                  <wp:effectExtent l="0" t="0" r="3175" b="889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B41" w:rsidRPr="00BE2B41" w:rsidRDefault="00BE2B41" w:rsidP="00BE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2B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E2B41" w:rsidRPr="00BE2B41" w:rsidRDefault="00BE2B41" w:rsidP="00BE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B41" w:rsidRPr="00BE2B41" w:rsidRDefault="00BE2B41" w:rsidP="00BE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E2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BE2B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E2B41" w:rsidRPr="00BE2B41" w:rsidRDefault="00BE2B41" w:rsidP="00BE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E2B41" w:rsidRPr="00BE2B41" w:rsidRDefault="00BE2B41" w:rsidP="00BE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41" w:rsidRPr="00BE2B41" w:rsidRDefault="00BE2B41" w:rsidP="00BE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E2B41" w:rsidRPr="00BE2B41" w:rsidTr="008B442E">
        <w:tc>
          <w:tcPr>
            <w:tcW w:w="2977" w:type="dxa"/>
            <w:tcBorders>
              <w:bottom w:val="single" w:sz="4" w:space="0" w:color="auto"/>
            </w:tcBorders>
          </w:tcPr>
          <w:p w:rsidR="00BE2B41" w:rsidRPr="00BE2B41" w:rsidRDefault="00BE2B41" w:rsidP="00BE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E2B41" w:rsidRPr="00BE2B41" w:rsidRDefault="00BE2B41" w:rsidP="00BE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2B41" w:rsidRPr="00BE2B41" w:rsidRDefault="00BE2B41" w:rsidP="00BE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B41" w:rsidRPr="00BE2B41" w:rsidRDefault="00BE2B41" w:rsidP="00BE2B41">
      <w:pPr>
        <w:spacing w:after="0" w:line="240" w:lineRule="auto"/>
        <w:ind w:right="5243"/>
        <w:jc w:val="center"/>
        <w:rPr>
          <w:rFonts w:ascii="Times New Roman" w:eastAsia="Times New Roman" w:hAnsi="Times New Roman" w:cs="Times New Roman"/>
          <w:sz w:val="36"/>
          <w:szCs w:val="28"/>
          <w:vertAlign w:val="superscript"/>
          <w:lang w:eastAsia="ru-RU"/>
        </w:rPr>
      </w:pPr>
      <w:r w:rsidRPr="00BE2B41">
        <w:rPr>
          <w:rFonts w:ascii="Times New Roman" w:eastAsia="Times New Roman" w:hAnsi="Times New Roman" w:cs="Times New Roman"/>
          <w:sz w:val="36"/>
          <w:szCs w:val="28"/>
          <w:vertAlign w:val="superscript"/>
          <w:lang w:eastAsia="ru-RU"/>
        </w:rPr>
        <w:t>г. Петропавловск-Камчатский</w:t>
      </w:r>
    </w:p>
    <w:p w:rsidR="00BE2B41" w:rsidRPr="003D0B6C" w:rsidRDefault="00BE2B41" w:rsidP="00BE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признания расходами</w:t>
      </w:r>
    </w:p>
    <w:p w:rsidR="00BE2B41" w:rsidRPr="003D0B6C" w:rsidRDefault="00BE2B41" w:rsidP="00BE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екущего</w:t>
      </w:r>
      <w:r w:rsidR="00D2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D23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E2B41" w:rsidRPr="003D0B6C" w:rsidRDefault="00BE2B41" w:rsidP="00BE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r w:rsidR="00D2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D2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</w:p>
    <w:p w:rsidR="00BE2B41" w:rsidRPr="003D0B6C" w:rsidRDefault="00BE2B41" w:rsidP="00BE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2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3D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</w:p>
    <w:p w:rsidR="00BE2B41" w:rsidRPr="003D0B6C" w:rsidRDefault="00BE2B41" w:rsidP="00BE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 в объекты</w:t>
      </w:r>
    </w:p>
    <w:p w:rsidR="00BE2B41" w:rsidRPr="003D0B6C" w:rsidRDefault="00BE2B41" w:rsidP="00BE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D2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2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</w:p>
    <w:p w:rsidR="00BE2B41" w:rsidRPr="00BE2B41" w:rsidRDefault="00BE2B41" w:rsidP="00BE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созданы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</w:tblGrid>
      <w:tr w:rsidR="00BE2B41" w:rsidRPr="00BE2B41" w:rsidTr="008B442E">
        <w:tc>
          <w:tcPr>
            <w:tcW w:w="4820" w:type="dxa"/>
          </w:tcPr>
          <w:p w:rsidR="00BE2B41" w:rsidRPr="003D0B6C" w:rsidRDefault="00BE2B41" w:rsidP="00BE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2B41" w:rsidRPr="00BE2B41" w:rsidRDefault="00BE2B41" w:rsidP="00BE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2B41" w:rsidRPr="004C2CA1" w:rsidRDefault="00BE2B41" w:rsidP="00AB3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признания расходами текущего финансового года исполнительными органами государственной власти 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государственными </w:t>
      </w:r>
      <w:r w:rsidR="00AB3701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казенными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произведенных за счет средств бюджета </w:t>
      </w:r>
      <w:r w:rsidR="00A0448D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капитальных вложений в объекты основных средств, которые не были созданы, со счетов бюджетного учета, которые ведут такие органы и </w:t>
      </w:r>
      <w:r w:rsidR="00AB3701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казенные учреждения</w:t>
      </w:r>
      <w:r w:rsidR="00D2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3701" w:rsidRPr="00BE2B41" w:rsidRDefault="00AB3701" w:rsidP="00AB3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B41" w:rsidRPr="00BE2B41" w:rsidRDefault="00BE2B41" w:rsidP="00BE2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BE2B41" w:rsidRPr="004C2CA1" w:rsidRDefault="00BE2B41" w:rsidP="00BE2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6C" w:rsidRPr="00BE2B41" w:rsidRDefault="003D0B6C" w:rsidP="005C208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принятия решений о признании расходами текущего финансового года произведенных за счет средств бюджета </w:t>
      </w:r>
      <w:r w:rsidR="006777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капитальных вложений в объекты основных средств, которые не были созданы, согласно </w:t>
      </w:r>
      <w:hyperlink r:id="rId6" w:history="1">
        <w:r w:rsidR="008B68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BE2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B6C" w:rsidRPr="00BE2B41" w:rsidRDefault="003D0B6C" w:rsidP="005C2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Межведомственную комиссию по определению направлений дальнейшего использования объектов основных средств (объектов незавершенного строительства) в составе согласно </w:t>
      </w:r>
      <w:hyperlink r:id="rId7" w:history="1">
        <w:r w:rsidRPr="00BE2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8B68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E2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B6C" w:rsidRPr="00BE2B41" w:rsidRDefault="003D0B6C" w:rsidP="005C2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hyperlink r:id="rId8" w:history="1">
        <w:r w:rsidRPr="00BE2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Межведомственной комиссии по определению направлений дальнейшего использования объектов основных средств (объектов незавершенного строительства)</w:t>
        </w:r>
      </w:hyperlink>
      <w:r w:rsidR="001C6B55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DB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3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1AB" w:rsidRDefault="006921AB" w:rsidP="005C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</w:t>
      </w:r>
      <w:r w:rsidR="003D0B6C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D0B6C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3D0B6C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C1539D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6C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C1539D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6C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C1539D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6C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Пахомова.</w:t>
      </w:r>
    </w:p>
    <w:p w:rsidR="00BE2B41" w:rsidRPr="00BE2B41" w:rsidRDefault="003D0B6C" w:rsidP="005C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через 10 дней после дня его официального опубликования</w:t>
      </w:r>
      <w:r w:rsidR="0069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B41" w:rsidRPr="00BE2B41" w:rsidRDefault="00BE2B41" w:rsidP="0069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6C" w:rsidRPr="004C2CA1" w:rsidRDefault="00BE2B41" w:rsidP="0069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Губернатор Камчатского края</w:t>
      </w:r>
      <w:r w:rsidRPr="004C2C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          </w:t>
      </w:r>
      <w:r w:rsidR="00AD0C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Pr="004C2C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В.И. Илюхин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4C2CA1" w:rsidRDefault="00DC66B8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41" w:rsidRPr="00BE2B41" w:rsidRDefault="00BE2B41" w:rsidP="00BE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Default="00DC66B8" w:rsidP="00BE2B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C5A" w:rsidRPr="004C2CA1" w:rsidRDefault="003D1C5A" w:rsidP="00BE2B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6B8" w:rsidRPr="00DC66B8" w:rsidRDefault="00DC66B8" w:rsidP="00DC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66B8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C66B8" w:rsidRPr="00DC66B8" w:rsidRDefault="00DC66B8" w:rsidP="00DC66B8">
      <w:pPr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Правительства Камчатского края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 Пахомов</w:t>
      </w:r>
    </w:p>
    <w:p w:rsidR="00DC66B8" w:rsidRDefault="00DC66B8" w:rsidP="00DC66B8">
      <w:pPr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2" w:rsidRPr="00DC66B8" w:rsidRDefault="000E37D2" w:rsidP="00DC66B8">
      <w:pPr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2" w:rsidRPr="00DC66B8" w:rsidRDefault="000E37D2" w:rsidP="000E37D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строительства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Камчатского края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Смирнов</w:t>
      </w:r>
    </w:p>
    <w:p w:rsidR="000E37D2" w:rsidRPr="00DC66B8" w:rsidRDefault="000E37D2" w:rsidP="000E37D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имущественных и земельных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 Камчатского края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 Выборов</w:t>
      </w:r>
    </w:p>
    <w:p w:rsidR="00DC66B8" w:rsidRPr="00DC66B8" w:rsidRDefault="00DC66B8" w:rsidP="00AD0CF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Камчатского края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Филатов</w:t>
      </w:r>
    </w:p>
    <w:p w:rsidR="00DC66B8" w:rsidRPr="00DC66B8" w:rsidRDefault="00DC66B8" w:rsidP="00DC66B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Главного правового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управления Губернатора и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Правительства Камчатского края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Гудин</w:t>
      </w:r>
    </w:p>
    <w:p w:rsidR="00DC66B8" w:rsidRPr="00DC66B8" w:rsidRDefault="00DC66B8" w:rsidP="00DC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6B8" w:rsidRPr="00DC66B8" w:rsidRDefault="00DC66B8" w:rsidP="00DC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6B8" w:rsidRPr="00DC66B8" w:rsidRDefault="00DC66B8" w:rsidP="00DC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6B8" w:rsidRPr="00DC66B8" w:rsidRDefault="00DC66B8" w:rsidP="00DC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6B8" w:rsidRPr="00DC66B8" w:rsidRDefault="00DC66B8" w:rsidP="00DC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6B8" w:rsidRPr="00DC66B8" w:rsidRDefault="00DC66B8" w:rsidP="00DC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6B8" w:rsidRPr="00DC66B8" w:rsidRDefault="00DC66B8" w:rsidP="00DC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CA1" w:rsidRDefault="004C2CA1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CA1" w:rsidRDefault="004C2CA1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CED" w:rsidRDefault="00305CED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CFE" w:rsidRDefault="00AD0CFE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CFE" w:rsidRDefault="00AD0CFE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CFE" w:rsidRDefault="00AD0CFE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CFE" w:rsidRDefault="00AD0CFE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CFE" w:rsidRDefault="00AD0CFE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CFE" w:rsidRDefault="00AD0CFE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CFE" w:rsidRDefault="00AD0CFE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CED" w:rsidRDefault="00305CED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CED" w:rsidRDefault="00305CED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CED" w:rsidRDefault="00305CED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CED" w:rsidRDefault="00305CED" w:rsidP="00DC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CED" w:rsidRDefault="00DC66B8" w:rsidP="00DC66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5CED">
        <w:rPr>
          <w:rFonts w:ascii="Times New Roman" w:eastAsia="Calibri" w:hAnsi="Times New Roman" w:cs="Times New Roman"/>
          <w:sz w:val="20"/>
          <w:szCs w:val="20"/>
        </w:rPr>
        <w:t>Исп.</w:t>
      </w:r>
      <w:r w:rsidR="00305CED">
        <w:rPr>
          <w:rFonts w:ascii="Times New Roman" w:eastAsia="Calibri" w:hAnsi="Times New Roman" w:cs="Times New Roman"/>
          <w:sz w:val="20"/>
          <w:szCs w:val="20"/>
        </w:rPr>
        <w:t>:</w:t>
      </w:r>
      <w:r w:rsidRPr="00305CE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05CED" w:rsidRDefault="00305CED" w:rsidP="00DC66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Светлана Анатольевна Жаркова</w:t>
      </w:r>
      <w:r w:rsidR="00DC66B8" w:rsidRPr="00305CED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DC66B8" w:rsidRPr="00305CED" w:rsidRDefault="00305CED" w:rsidP="00DC66B8">
      <w:pPr>
        <w:spacing w:after="0" w:line="240" w:lineRule="auto"/>
        <w:rPr>
          <w:rFonts w:ascii="Times New Roman" w:eastAsia="Calibri" w:hAnsi="Times New Roman" w:cs="Times New Roman"/>
          <w:bCs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Елена Николаевна Воронова</w:t>
      </w:r>
      <w:r w:rsidR="00DC66B8" w:rsidRPr="00305CED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>Тел.</w:t>
      </w:r>
      <w:r w:rsidR="00DC66B8" w:rsidRPr="00305CED">
        <w:rPr>
          <w:rFonts w:ascii="Times New Roman" w:eastAsia="Calibri" w:hAnsi="Times New Roman" w:cs="Times New Roman"/>
          <w:sz w:val="20"/>
          <w:szCs w:val="20"/>
        </w:rPr>
        <w:t>: 8 (4152) 42-12-02, 46-15-47</w:t>
      </w:r>
      <w:r w:rsidR="00DC66B8" w:rsidRPr="00305CED">
        <w:rPr>
          <w:rFonts w:ascii="Times New Roman" w:eastAsia="Calibri" w:hAnsi="Times New Roman" w:cs="Times New Roman"/>
          <w:sz w:val="20"/>
          <w:szCs w:val="20"/>
        </w:rPr>
        <w:br/>
        <w:t>Министерство строительства Камчатского края</w:t>
      </w:r>
    </w:p>
    <w:p w:rsidR="00DC66B8" w:rsidRPr="000D639A" w:rsidRDefault="000D639A" w:rsidP="000D639A">
      <w:pPr>
        <w:pStyle w:val="a5"/>
        <w:ind w:left="5954" w:hanging="1134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       </w:t>
      </w:r>
      <w:r w:rsidR="00DC66B8" w:rsidRPr="000D639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Приложение </w:t>
      </w:r>
      <w:r w:rsidR="007D6B7D" w:rsidRPr="000D639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№ 1 </w:t>
      </w:r>
      <w:r w:rsidR="00DC66B8" w:rsidRPr="000D639A">
        <w:rPr>
          <w:rFonts w:ascii="Times New Roman" w:eastAsia="Calibri" w:hAnsi="Times New Roman" w:cs="Times New Roman"/>
          <w:bCs/>
          <w:kern w:val="28"/>
          <w:sz w:val="28"/>
          <w:szCs w:val="28"/>
        </w:rPr>
        <w:t>к постановлению</w:t>
      </w:r>
    </w:p>
    <w:p w:rsidR="00DC66B8" w:rsidRPr="000D639A" w:rsidRDefault="000D639A" w:rsidP="000D639A">
      <w:pPr>
        <w:spacing w:after="0" w:line="240" w:lineRule="auto"/>
        <w:ind w:left="5954" w:hanging="1134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       </w:t>
      </w:r>
      <w:r w:rsidR="00DC66B8" w:rsidRPr="000D639A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Правительства Камчатского края</w:t>
      </w:r>
    </w:p>
    <w:p w:rsidR="00DC66B8" w:rsidRPr="000D639A" w:rsidRDefault="000D639A" w:rsidP="000D639A">
      <w:pPr>
        <w:tabs>
          <w:tab w:val="left" w:pos="5529"/>
          <w:tab w:val="left" w:pos="6663"/>
        </w:tabs>
        <w:spacing w:after="0" w:line="240" w:lineRule="auto"/>
        <w:ind w:left="595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</w:t>
      </w:r>
      <w:r w:rsidR="00DC66B8" w:rsidRPr="000D63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«___» _____________№____</w:t>
      </w:r>
    </w:p>
    <w:p w:rsidR="00DC66B8" w:rsidRPr="00DC66B8" w:rsidRDefault="00DC66B8" w:rsidP="007D6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B8" w:rsidRPr="00DC66B8" w:rsidRDefault="00DC66B8" w:rsidP="00DC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C66B8" w:rsidRPr="004C2CA1" w:rsidRDefault="00BE2B41" w:rsidP="00DC66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решений о признании расходами текущего финансового года</w:t>
      </w:r>
    </w:p>
    <w:p w:rsidR="00BE2B41" w:rsidRPr="00BE2B41" w:rsidRDefault="00BE2B41" w:rsidP="00DC66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произведенных за счет средств бюджета </w:t>
      </w:r>
      <w:r w:rsidR="00DC66B8" w:rsidRPr="004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капитальных вложений в объекты основных средств, которые не были созданы</w:t>
      </w:r>
    </w:p>
    <w:p w:rsidR="00D2557C" w:rsidRDefault="00BE2B41" w:rsidP="00D2557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порядок принятия решений о признании расходами текущего финансового года произведенных за счет средств бюджета </w:t>
      </w:r>
      <w:r w:rsidR="00D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 в объекты основных средств, которые не были созданы</w:t>
      </w:r>
      <w:r w:rsidR="00D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признание капитальных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вложений расходами текущего финансового года).</w:t>
      </w:r>
    </w:p>
    <w:p w:rsidR="00BE2B41" w:rsidRPr="00BE2B41" w:rsidRDefault="00BE2B41" w:rsidP="00D2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не распространяется на объекты капитального строительства, в отношении которых Правительством </w:t>
      </w:r>
      <w:r w:rsidR="002210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бюджетных инвестициях в объекты государственной собственности </w:t>
      </w:r>
      <w:r w:rsidR="002210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решение о предоставлении субсидий на осуществление капитальных вложений в объекты капитального строительства государственной собственности</w:t>
      </w:r>
      <w:r w:rsidR="002210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B41" w:rsidRPr="00BE2B41" w:rsidRDefault="00BE2B41" w:rsidP="0022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настоящего Порядка капитальными вложениями признаются произведенные за счет средств бюджета </w:t>
      </w:r>
      <w:r w:rsidR="002210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в объекты основных средств, которые не были созданы (далее - объекты), в том числе в сумме расходов по разработке проектно-сметной документации, строительно-монтажным работам и иных расходов, не приведших к возведению (созданию) объекта основного средства (объекта незавершенного строительства).</w:t>
      </w:r>
    </w:p>
    <w:p w:rsidR="00BE2B41" w:rsidRPr="00BE2B41" w:rsidRDefault="00BE2B41" w:rsidP="0022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признании капитальных вложений расходами текущего финансового года принимается исполнительным органом государственной власти</w:t>
      </w:r>
      <w:r w:rsidR="002210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счетах бюджетного учета которого отражены указанные капитальные вложения, на основании заключения создаваемой Правительством </w:t>
      </w:r>
      <w:r w:rsidR="002210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определению направлений дальнейшего использования объектов основных средств (объектов незавершенного строительства) (далее - Комиссия) о признании капитальных вложений расходами текущего финансового года.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капитальных вложений, отраженных на счетах бюджетного учета государственного казенного учреждения</w:t>
      </w:r>
      <w:r w:rsidR="002210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расходами текущего финансового года принимается исполнительным органом государственной власти</w:t>
      </w:r>
      <w:r w:rsidR="002210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бюджетные полномочия главного распорядителя средств бюджета </w:t>
      </w:r>
      <w:r w:rsidR="002408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указанного государственного казенного учреждения </w:t>
      </w:r>
      <w:r w:rsidR="002408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заключения Комиссии о признании капитальных вложений расходами текущего финансового года.</w:t>
      </w:r>
    </w:p>
    <w:p w:rsidR="00BA27E9" w:rsidRDefault="00C73D36" w:rsidP="00BA27E9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принятия решения о признании капитальных вложений, отраженных на счетах бюджетного учета государственного казенного учреждения</w:t>
      </w:r>
      <w:r w:rsidR="002408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расходами текущего финансового года государственное казенное учреждение </w:t>
      </w:r>
      <w:r w:rsidR="002408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исполнительный орган государственной власти</w:t>
      </w:r>
      <w:r w:rsidR="002408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бюджетные полномочия главного распорядителя средств бюджета </w:t>
      </w:r>
      <w:r w:rsidR="002408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указанного государственного казенного учреждения </w:t>
      </w:r>
      <w:r w:rsidR="00240829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обращение</w:t>
      </w:r>
      <w:r w:rsidR="00A92816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7F4D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включающее </w:t>
      </w:r>
      <w:r w:rsidR="006C7F4D" w:rsidRPr="004C2CA1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Справку по объекту незавершенного строительства, финансирование которого осуществлялось за счет средств бюджета Камчатского края</w:t>
      </w:r>
      <w:r w:rsidR="00A92816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CA1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к настоящему Порядку,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понесенные затраты.</w:t>
      </w:r>
    </w:p>
    <w:p w:rsidR="00BE2B41" w:rsidRPr="00BE2B41" w:rsidRDefault="00BA27E9" w:rsidP="003604A9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Исполнительный орган государственной власти </w:t>
      </w:r>
      <w:r w:rsidR="00B3026C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на рассмотрение Комиссии (в отношении капитальных вложений, отраженных на счетах бюджетного учета государственного казенного учреждения</w:t>
      </w:r>
      <w:r w:rsidR="00B3026C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, - не позднее 10 рабочих дней со дня поступления документов от указанного учреждения) документы, подтверждающие понесенные затраты.</w:t>
      </w:r>
    </w:p>
    <w:p w:rsidR="0089479D" w:rsidRDefault="00BE2B41" w:rsidP="00227D6B">
      <w:pPr>
        <w:tabs>
          <w:tab w:val="left" w:pos="709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:rsidR="00BE2B41" w:rsidRPr="00BE2B41" w:rsidRDefault="004C2CA1" w:rsidP="00227D6B">
      <w:pPr>
        <w:tabs>
          <w:tab w:val="left" w:pos="709"/>
          <w:tab w:val="left" w:pos="993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документы, указанные в </w:t>
      </w:r>
      <w:hyperlink r:id="rId9" w:history="1">
        <w:r w:rsidR="00BE2B41" w:rsidRPr="00BE2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 настоящего Порядка</w:t>
        </w:r>
      </w:hyperlink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заключение о признании (непризнании) расходами текущего финансового года капитальных вложений (далее - заключение).</w:t>
      </w:r>
    </w:p>
    <w:p w:rsidR="00504ED0" w:rsidRPr="004C2CA1" w:rsidRDefault="00BE2B41" w:rsidP="00360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готовит положительное заключение при наличии хотя бы </w:t>
      </w:r>
      <w:r w:rsidR="00AA7CBF" w:rsidRPr="00A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условий: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ED0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ED0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объекта в результате пожара, аварии, стихийного бедствия;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4ED0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 является предметом действующих договоров строительного подряда и отсутствует экономическая целесообразность дальнейшего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строительства;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4ED0" w:rsidRPr="00AA7C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возведенные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конструкций в результате длительного перерыва в строительно-монтажных работах частично или полностью разрушены и непригодны для дальнейшего использования;</w:t>
      </w:r>
    </w:p>
    <w:p w:rsidR="00504ED0" w:rsidRPr="004C2CA1" w:rsidRDefault="00504ED0" w:rsidP="00504E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реконструируемого объекта отсутствует балансодержатель;</w:t>
      </w:r>
    </w:p>
    <w:p w:rsidR="0089479D" w:rsidRDefault="00504ED0" w:rsidP="0089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проектной документации не отвечающей действующим на дату подготовки Комиссией заключения нормативным </w:t>
      </w:r>
      <w:r w:rsidR="008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и (или) техническим у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словиям;</w:t>
      </w:r>
    </w:p>
    <w:p w:rsidR="00BE2B41" w:rsidRPr="00BE2B41" w:rsidRDefault="00504ED0" w:rsidP="0089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пятилетнего срока с даты разработки и (или) утверждения проектной документации (или отдельных ее разделов) в случае, если строительно-монтажные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A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A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A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A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A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A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B41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пятилетнего срока с даты прекращения строительно-монтажных работ, которые не планируются к возобновлению.</w:t>
      </w:r>
    </w:p>
    <w:p w:rsidR="0083524C" w:rsidRDefault="00BE2B41" w:rsidP="00FC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14 календарных дней после получения заключения Комиссии исполнительный орган государственной власти </w:t>
      </w:r>
      <w:r w:rsidR="00504ED0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</w:t>
      </w:r>
      <w:r w:rsidR="00AA7CBF" w:rsidRPr="00AA7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ED0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капитальных вложений расходами текущего финансового года;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ED0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признании капитальных вложений расходами текущего финансового года.</w:t>
      </w:r>
    </w:p>
    <w:p w:rsidR="00BE2B41" w:rsidRPr="00BE2B41" w:rsidRDefault="00BE2B41" w:rsidP="00FC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капитальных вложений расходами текущего финансового года оформляется </w:t>
      </w:r>
      <w:r w:rsidR="007D0931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</w:t>
      </w:r>
      <w:r w:rsidR="007D0931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B41" w:rsidRPr="004C2CA1" w:rsidRDefault="00BE2B4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 принятом решении (только в отношении капитальных вложений, находящихся на счетах бюджетного учета государственных казенных учреждений</w:t>
      </w:r>
      <w:r w:rsidR="003C325F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исполнительный орган государственной власти </w:t>
      </w:r>
      <w:r w:rsidR="003C325F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государственное казенное учреждение </w:t>
      </w:r>
      <w:r w:rsidR="003C325F"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принятия решения.</w:t>
      </w:r>
    </w:p>
    <w:p w:rsidR="007D0931" w:rsidRPr="004C2CA1" w:rsidRDefault="007D093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31" w:rsidRPr="004C2CA1" w:rsidRDefault="007D093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31" w:rsidRPr="004C2CA1" w:rsidRDefault="007D093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31" w:rsidRPr="004C2CA1" w:rsidRDefault="007D093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31" w:rsidRDefault="007D093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A1" w:rsidRDefault="004C2CA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B2" w:rsidRDefault="00566CB2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B2" w:rsidRDefault="00566CB2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B2" w:rsidRPr="004C2CA1" w:rsidRDefault="00566CB2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31" w:rsidRPr="004C2CA1" w:rsidRDefault="007D0931" w:rsidP="007D093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D" w:rsidRPr="004C2CA1" w:rsidRDefault="007D6B7D" w:rsidP="007D6B7D">
      <w:pPr>
        <w:pStyle w:val="a5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4C2CA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Приложение № </w:t>
      </w:r>
      <w:r w:rsidR="001C6B55" w:rsidRPr="004C2CA1">
        <w:rPr>
          <w:rFonts w:ascii="Times New Roman" w:eastAsia="Calibri" w:hAnsi="Times New Roman" w:cs="Times New Roman"/>
          <w:bCs/>
          <w:kern w:val="28"/>
          <w:sz w:val="28"/>
          <w:szCs w:val="28"/>
        </w:rPr>
        <w:t>2</w:t>
      </w:r>
      <w:r w:rsidRPr="004C2CA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к постановлению</w:t>
      </w:r>
    </w:p>
    <w:p w:rsidR="007D6B7D" w:rsidRPr="00DC66B8" w:rsidRDefault="007D6B7D" w:rsidP="007D6B7D">
      <w:pPr>
        <w:spacing w:after="0" w:line="240" w:lineRule="auto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DC66B8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Правительства Камчатского края</w:t>
      </w:r>
    </w:p>
    <w:p w:rsidR="007D0931" w:rsidRPr="00BE2B41" w:rsidRDefault="007D6B7D" w:rsidP="007D6B7D">
      <w:pPr>
        <w:spacing w:after="24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«___» _____________№____</w:t>
      </w:r>
    </w:p>
    <w:p w:rsidR="007D6B7D" w:rsidRDefault="007D6B7D" w:rsidP="001635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509" w:rsidRPr="004C2CA1" w:rsidRDefault="00163509" w:rsidP="001635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B7D" w:rsidRPr="004C2CA1" w:rsidRDefault="00BE2B41" w:rsidP="0042468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Межведомственной комиссии</w:t>
      </w:r>
    </w:p>
    <w:p w:rsidR="00BE2B41" w:rsidRPr="00BE2B41" w:rsidRDefault="00BE2B41" w:rsidP="00644A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 направлений дальнейшего использования объектов основных средств (объектов незавершенного строительства)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03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35"/>
        <w:gridCol w:w="78"/>
        <w:gridCol w:w="314"/>
        <w:gridCol w:w="35"/>
        <w:gridCol w:w="5522"/>
        <w:gridCol w:w="177"/>
        <w:gridCol w:w="30"/>
        <w:gridCol w:w="30"/>
        <w:gridCol w:w="30"/>
        <w:gridCol w:w="541"/>
      </w:tblGrid>
      <w:tr w:rsidR="00BE2B41" w:rsidRPr="00BE2B41" w:rsidTr="00870806">
        <w:trPr>
          <w:gridAfter w:val="1"/>
          <w:wAfter w:w="496" w:type="dxa"/>
          <w:trHeight w:val="12"/>
          <w:tblCellSpacing w:w="15" w:type="dxa"/>
        </w:trPr>
        <w:tc>
          <w:tcPr>
            <w:tcW w:w="3655" w:type="dxa"/>
            <w:gridSpan w:val="3"/>
            <w:vAlign w:val="center"/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4" w:type="dxa"/>
            <w:gridSpan w:val="6"/>
            <w:vAlign w:val="center"/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B41" w:rsidRPr="00BE2B41" w:rsidTr="00870806">
        <w:trPr>
          <w:gridAfter w:val="3"/>
          <w:wAfter w:w="556" w:type="dxa"/>
          <w:tblCellSpacing w:w="15" w:type="dxa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4C2CA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r w:rsidR="0042468B" w:rsidRPr="004C2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омиссии</w:t>
            </w:r>
            <w:r w:rsidR="00644A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B41" w:rsidRPr="00BE2B41" w:rsidTr="00870806">
        <w:trPr>
          <w:gridAfter w:val="2"/>
          <w:wAfter w:w="526" w:type="dxa"/>
          <w:tblCellSpacing w:w="15" w:type="dxa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448F" w:rsidRDefault="0015448F" w:rsidP="001544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Унтилова </w:t>
            </w:r>
            <w:r w:rsidR="00EC43E7" w:rsidRPr="004C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Леонидовна</w:t>
            </w:r>
            <w:r w:rsidR="00EC43E7" w:rsidRPr="004C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E2B41" w:rsidRPr="00BE2B41" w:rsidRDefault="00EC43E7" w:rsidP="00154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4C2CA1" w:rsidRDefault="0015448F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вице-губернатор </w:t>
            </w:r>
            <w:r w:rsidR="001815AA" w:rsidRPr="00DC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B41" w:rsidRPr="00BE2B41" w:rsidTr="00644AA9">
        <w:trPr>
          <w:gridAfter w:val="5"/>
          <w:wAfter w:w="763" w:type="dxa"/>
          <w:tblCellSpacing w:w="15" w:type="dxa"/>
        </w:trPr>
        <w:tc>
          <w:tcPr>
            <w:tcW w:w="9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4C2CA1" w:rsidRDefault="00BE2B41" w:rsidP="00D84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870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B41" w:rsidRPr="00BE2B41" w:rsidTr="00870806">
        <w:trPr>
          <w:tblCellSpacing w:w="15" w:type="dxa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15448F" w:rsidP="00D844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 Сергей</w:t>
            </w:r>
            <w:r w:rsidR="00BE2B41"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EC43E7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DC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Правительства Камчатского края</w:t>
            </w:r>
          </w:p>
        </w:tc>
      </w:tr>
      <w:tr w:rsidR="00BE2B41" w:rsidRPr="00BE2B41" w:rsidTr="00870806">
        <w:trPr>
          <w:gridAfter w:val="4"/>
          <w:wAfter w:w="586" w:type="dxa"/>
          <w:tblCellSpacing w:w="15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B41" w:rsidRPr="00BE2B41" w:rsidTr="00870806">
        <w:trPr>
          <w:gridAfter w:val="4"/>
          <w:wAfter w:w="586" w:type="dxa"/>
          <w:tblCellSpacing w:w="15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A92816" w:rsidP="00A9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строительства Камчатского края</w:t>
            </w:r>
          </w:p>
        </w:tc>
      </w:tr>
      <w:tr w:rsidR="00BE2B41" w:rsidRPr="00BE2B41" w:rsidTr="00870806">
        <w:trPr>
          <w:gridAfter w:val="4"/>
          <w:wAfter w:w="586" w:type="dxa"/>
          <w:tblCellSpacing w:w="15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EC43E7" w:rsidP="00EC4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развития, предпринимательства и торговли Камчатского края</w:t>
            </w:r>
          </w:p>
        </w:tc>
      </w:tr>
      <w:tr w:rsidR="00BE2B41" w:rsidRPr="00BE2B41" w:rsidTr="00870806">
        <w:trPr>
          <w:gridAfter w:val="4"/>
          <w:wAfter w:w="586" w:type="dxa"/>
          <w:tblCellSpacing w:w="15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EC43E7" w:rsidP="00EC4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жилищно-коммунального хозяйства Камчатского края</w:t>
            </w:r>
          </w:p>
        </w:tc>
      </w:tr>
      <w:tr w:rsidR="00BE2B41" w:rsidRPr="00BE2B41" w:rsidTr="00870806">
        <w:trPr>
          <w:gridAfter w:val="4"/>
          <w:wAfter w:w="586" w:type="dxa"/>
          <w:tblCellSpacing w:w="15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EC43E7" w:rsidP="00EC4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 Камчатского края</w:t>
            </w:r>
          </w:p>
        </w:tc>
      </w:tr>
      <w:tr w:rsidR="00BE2B41" w:rsidRPr="00BE2B41" w:rsidTr="00870806">
        <w:trPr>
          <w:gridAfter w:val="4"/>
          <w:wAfter w:w="586" w:type="dxa"/>
          <w:tblCellSpacing w:w="15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EC43E7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имущественных и земельных отношений Камчатского края</w:t>
            </w:r>
          </w:p>
        </w:tc>
      </w:tr>
      <w:tr w:rsidR="00BE2B41" w:rsidRPr="00BE2B41" w:rsidTr="00870806">
        <w:trPr>
          <w:gridAfter w:val="4"/>
          <w:wAfter w:w="586" w:type="dxa"/>
          <w:tblCellSpacing w:w="15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EC43E7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и дорожного строительства Камчатского края</w:t>
            </w:r>
          </w:p>
        </w:tc>
      </w:tr>
      <w:tr w:rsidR="00BE2B41" w:rsidRPr="00BE2B41" w:rsidTr="00870806">
        <w:trPr>
          <w:gridAfter w:val="4"/>
          <w:wAfter w:w="586" w:type="dxa"/>
          <w:trHeight w:val="1441"/>
          <w:tblCellSpacing w:w="15" w:type="dxa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BE2B41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2B41" w:rsidRPr="00BE2B41" w:rsidRDefault="00EC43E7" w:rsidP="00BE2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Инспекции - главный государственный инспектор государственного строительного надзора Камчатского края</w:t>
            </w:r>
          </w:p>
        </w:tc>
      </w:tr>
    </w:tbl>
    <w:p w:rsidR="00870806" w:rsidRDefault="00870806" w:rsidP="001C6B55">
      <w:pPr>
        <w:pStyle w:val="a5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2A14A9" w:rsidRDefault="002A14A9" w:rsidP="001C6B55">
      <w:pPr>
        <w:pStyle w:val="a5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C6B55" w:rsidRPr="004C2CA1" w:rsidRDefault="001C6B55" w:rsidP="001C6B55">
      <w:pPr>
        <w:pStyle w:val="a5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4C2CA1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Приложение № 3 к постановлению</w:t>
      </w:r>
    </w:p>
    <w:p w:rsidR="001C6B55" w:rsidRPr="00DC66B8" w:rsidRDefault="001C6B55" w:rsidP="001C6B55">
      <w:pPr>
        <w:spacing w:after="0" w:line="240" w:lineRule="auto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DC66B8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Правительства Камчатского края</w:t>
      </w:r>
    </w:p>
    <w:p w:rsidR="001C6B55" w:rsidRPr="00DC66B8" w:rsidRDefault="001C6B55" w:rsidP="001C6B5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«___» _____________№____</w:t>
      </w:r>
    </w:p>
    <w:p w:rsidR="001C6B55" w:rsidRPr="004C2CA1" w:rsidRDefault="001C6B55" w:rsidP="001C6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55" w:rsidRPr="00DC66B8" w:rsidRDefault="001C6B55" w:rsidP="001C6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55" w:rsidRPr="004C2CA1" w:rsidRDefault="001C6B55" w:rsidP="001C6B5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1C6B55" w:rsidRPr="00BE2B41" w:rsidRDefault="001C6B55" w:rsidP="001C6B5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Межведомственной комиссии по определению направлений дальнейшего использования объектов основных средств (объектов незавершенного строительства)</w:t>
      </w:r>
    </w:p>
    <w:p w:rsidR="001C6B55" w:rsidRPr="00BE2B41" w:rsidRDefault="001C6B55" w:rsidP="001C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Межведомственная комиссия по определению направлений дальнейшего использования объектов основных средств (объектов незавершенного строительства) (далее - Комиссия) является постоянно действующим коллегиальным совещательным органом.</w:t>
      </w:r>
    </w:p>
    <w:p w:rsidR="001C6B55" w:rsidRPr="00BE2B41" w:rsidRDefault="001C6B55" w:rsidP="001C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компетенции Комиссии относится рассмотрение документов, представленных исполнительными органами государственной власти 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Комиссией заключения о признании (непризнании) расходами текущего финансового года произведенных за счет средств бюджета 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 в объекты основных средств, которые не были созданы, и подготовка такого заключения в порядке, установленном настоящим постановлением.</w:t>
      </w:r>
    </w:p>
    <w:p w:rsidR="001C6B55" w:rsidRPr="00BE2B41" w:rsidRDefault="001C6B55" w:rsidP="001C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Заседания Комиссии созываются председателем Комиссии по мере необходимости.</w:t>
      </w:r>
    </w:p>
    <w:p w:rsidR="001C6B55" w:rsidRPr="00BE2B41" w:rsidRDefault="001C6B55" w:rsidP="001C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Заседания Комиссии открывает и ведет председатель Комиссии.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1C6B55" w:rsidRPr="00BE2B41" w:rsidRDefault="001C6B55" w:rsidP="001C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Члены Комиссии вправе делегировать свои полномочия иному представителю соответствующего исполнительного органа государственной власти 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не ниже заместителя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или Руководителя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738" w:rsidRDefault="001C6B55" w:rsidP="004C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 Комиссии правомочны, если на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присутствуют более 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оловины членов</w:t>
      </w:r>
      <w:r w:rsid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747738" w:rsidRDefault="001C6B55" w:rsidP="004C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рисутствующих на заседании членов Комиссии.</w:t>
      </w:r>
    </w:p>
    <w:p w:rsidR="00747738" w:rsidRDefault="001C6B55" w:rsidP="004C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747738" w:rsidRDefault="001C6B55" w:rsidP="004C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подписываются всеми членами Комиссии, 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присутствовавшими на заседании.</w:t>
      </w:r>
    </w:p>
    <w:p w:rsidR="001C6B55" w:rsidRPr="00BE2B41" w:rsidRDefault="001C6B55" w:rsidP="004C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</w:t>
      </w:r>
      <w:r w:rsid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Комиссии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 на заседании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на следующий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заседания Комиссии.</w:t>
      </w:r>
    </w:p>
    <w:p w:rsidR="00DA3595" w:rsidRDefault="001C6B55" w:rsidP="004C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Организационное и материально-техническое обеспечение очередного заседания Комиссии возлагается на исполнительный орган государственной власти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инициативе которого </w:t>
      </w:r>
      <w:r w:rsidRPr="00DA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созывается заседание Комиссии.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утверждается председателем Комиссии.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справочные материалы доводятся</w:t>
      </w:r>
      <w:r w:rsidR="00DA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Комиссии до сведения членов Комиссии не позднее </w:t>
      </w:r>
      <w:r w:rsidRPr="00DA35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три рабочих дня до заседания.</w:t>
      </w:r>
    </w:p>
    <w:p w:rsidR="001C6B55" w:rsidRPr="00BE2B41" w:rsidRDefault="001C6B55" w:rsidP="004C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и при отсутствии возражений 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членов Комиссии в повестку дня по инициативе председателя Комиссии или заместителя председателя Комиссии могут вноситься изменения.</w:t>
      </w:r>
    </w:p>
    <w:p w:rsidR="001C6B55" w:rsidRPr="00BE2B41" w:rsidRDefault="001C6B55" w:rsidP="00DA3595">
      <w:pPr>
        <w:tabs>
          <w:tab w:val="left" w:pos="709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заседания Комиссии могут приглашаться представители заинтересованных органов государственной власти и организаций, а также специалисты.</w:t>
      </w:r>
    </w:p>
    <w:p w:rsidR="001C6B55" w:rsidRPr="004C2CA1" w:rsidRDefault="001C6B55" w:rsidP="001C6B55">
      <w:pPr>
        <w:rPr>
          <w:rFonts w:ascii="Times New Roman" w:hAnsi="Times New Roman" w:cs="Times New Roman"/>
          <w:sz w:val="28"/>
          <w:szCs w:val="28"/>
        </w:rPr>
      </w:pPr>
    </w:p>
    <w:p w:rsidR="001C6B55" w:rsidRPr="004C2CA1" w:rsidRDefault="001C6B55" w:rsidP="00C03B7F">
      <w:pPr>
        <w:pStyle w:val="a5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  <w:sectPr w:rsidR="001C6B55" w:rsidRPr="004C2CA1" w:rsidSect="005C208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C6B55" w:rsidRPr="004C2CA1" w:rsidRDefault="00C03B7F" w:rsidP="001C6B55">
      <w:pPr>
        <w:pStyle w:val="a5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A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Приложение </w:t>
      </w:r>
      <w:r w:rsidR="001C6B55" w:rsidRPr="004C2CA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к Порядку </w:t>
      </w:r>
    </w:p>
    <w:p w:rsidR="004C2CA1" w:rsidRPr="004C2CA1" w:rsidRDefault="004C2CA1" w:rsidP="004C2CA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решений о признании расходами</w:t>
      </w:r>
    </w:p>
    <w:p w:rsidR="004C2CA1" w:rsidRPr="004C2CA1" w:rsidRDefault="004C2CA1" w:rsidP="004C2CA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финансового года</w:t>
      </w:r>
    </w:p>
    <w:p w:rsidR="004C2CA1" w:rsidRPr="004C2CA1" w:rsidRDefault="004C2CA1" w:rsidP="004C2CA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произведенных за счет средств</w:t>
      </w:r>
    </w:p>
    <w:p w:rsidR="004C2CA1" w:rsidRPr="004C2CA1" w:rsidRDefault="004C2CA1" w:rsidP="004C2CA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Pr="004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капитальных</w:t>
      </w:r>
    </w:p>
    <w:p w:rsidR="004C2CA1" w:rsidRPr="004C2CA1" w:rsidRDefault="004C2CA1" w:rsidP="004C2CA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вложений в объекты основных средств,</w:t>
      </w:r>
    </w:p>
    <w:p w:rsidR="00C03B7F" w:rsidRPr="00DC66B8" w:rsidRDefault="004C2CA1" w:rsidP="004C2CA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не были созданы</w:t>
      </w:r>
    </w:p>
    <w:p w:rsidR="00C03B7F" w:rsidRPr="004C2CA1" w:rsidRDefault="00C03B7F" w:rsidP="00C03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7F" w:rsidRPr="004C2CA1" w:rsidRDefault="00C03B7F" w:rsidP="004F601A">
      <w:pPr>
        <w:pStyle w:val="a5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C03B7F" w:rsidRPr="004C2CA1" w:rsidRDefault="00C03B7F" w:rsidP="00C03B7F">
      <w:pPr>
        <w:pStyle w:val="a5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4C2CA1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Справка</w:t>
      </w:r>
    </w:p>
    <w:p w:rsidR="00C03B7F" w:rsidRPr="004C2CA1" w:rsidRDefault="00C03B7F" w:rsidP="00C03B7F">
      <w:pPr>
        <w:pStyle w:val="a5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4C2CA1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 объекту незавершенного строительства, финансирование которого осуществлялось за счет средств бюджета Камчатского края</w:t>
      </w:r>
    </w:p>
    <w:p w:rsidR="00C03B7F" w:rsidRPr="004C2CA1" w:rsidRDefault="00C03B7F" w:rsidP="00C03B7F">
      <w:pPr>
        <w:pStyle w:val="a5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C03B7F" w:rsidRPr="004C2CA1" w:rsidRDefault="00C03B7F" w:rsidP="00C03B7F">
      <w:pPr>
        <w:pStyle w:val="a5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397"/>
        <w:gridCol w:w="2343"/>
        <w:gridCol w:w="1910"/>
        <w:gridCol w:w="1579"/>
        <w:gridCol w:w="1795"/>
        <w:gridCol w:w="2039"/>
      </w:tblGrid>
      <w:tr w:rsidR="006C7F4D" w:rsidRPr="004C2CA1" w:rsidTr="006C7F4D">
        <w:tc>
          <w:tcPr>
            <w:tcW w:w="2660" w:type="dxa"/>
          </w:tcPr>
          <w:p w:rsidR="006C7F4D" w:rsidRPr="004C2CA1" w:rsidRDefault="006C7F4D" w:rsidP="006C7F4D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4C2CA1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Наименование объекта незавершенного строительства</w:t>
            </w:r>
          </w:p>
        </w:tc>
        <w:tc>
          <w:tcPr>
            <w:tcW w:w="2397" w:type="dxa"/>
          </w:tcPr>
          <w:p w:rsidR="006C7F4D" w:rsidRPr="004C2CA1" w:rsidRDefault="006C7F4D" w:rsidP="006C7F4D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4C2CA1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Местонахождение</w:t>
            </w:r>
          </w:p>
        </w:tc>
        <w:tc>
          <w:tcPr>
            <w:tcW w:w="2343" w:type="dxa"/>
          </w:tcPr>
          <w:p w:rsidR="006C7F4D" w:rsidRPr="004C2CA1" w:rsidRDefault="006C7F4D" w:rsidP="006C7F4D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4C2CA1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Нормативный правовой акт, подтверждающий обоснованность строительство (реконструкцию)</w:t>
            </w:r>
          </w:p>
        </w:tc>
        <w:tc>
          <w:tcPr>
            <w:tcW w:w="1910" w:type="dxa"/>
          </w:tcPr>
          <w:p w:rsidR="006C7F4D" w:rsidRPr="004C2CA1" w:rsidRDefault="006C7F4D" w:rsidP="006C7F4D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4C2CA1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Сметная стоимость строительства (тыс. руб.)</w:t>
            </w:r>
          </w:p>
        </w:tc>
        <w:tc>
          <w:tcPr>
            <w:tcW w:w="1579" w:type="dxa"/>
          </w:tcPr>
          <w:p w:rsidR="006C7F4D" w:rsidRPr="004C2CA1" w:rsidRDefault="006C7F4D" w:rsidP="006C7F4D">
            <w:pPr>
              <w:pStyle w:val="a7"/>
              <w:jc w:val="center"/>
              <w:rPr>
                <w:sz w:val="28"/>
                <w:szCs w:val="28"/>
              </w:rPr>
            </w:pPr>
            <w:r w:rsidRPr="004C2CA1">
              <w:rPr>
                <w:bCs/>
                <w:sz w:val="28"/>
                <w:szCs w:val="28"/>
              </w:rPr>
              <w:t>Начало реализации проекта (год)</w:t>
            </w:r>
          </w:p>
          <w:p w:rsidR="006C7F4D" w:rsidRPr="004C2CA1" w:rsidRDefault="006C7F4D" w:rsidP="006C7F4D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1795" w:type="dxa"/>
          </w:tcPr>
          <w:p w:rsidR="006C7F4D" w:rsidRPr="004C2CA1" w:rsidRDefault="006C7F4D" w:rsidP="006C7F4D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4C2CA1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Фактическое прекращение реализации проекта (год)</w:t>
            </w:r>
          </w:p>
        </w:tc>
        <w:tc>
          <w:tcPr>
            <w:tcW w:w="2039" w:type="dxa"/>
          </w:tcPr>
          <w:p w:rsidR="006C7F4D" w:rsidRPr="004C2CA1" w:rsidRDefault="006C7F4D" w:rsidP="006C7F4D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4C2CA1">
              <w:rPr>
                <w:rFonts w:ascii="Times New Roman" w:hAnsi="Times New Roman" w:cs="Times New Roman"/>
                <w:bCs/>
                <w:sz w:val="28"/>
                <w:szCs w:val="28"/>
              </w:rPr>
              <w:t>Объем затрат  (тыс. руб.)</w:t>
            </w:r>
          </w:p>
        </w:tc>
      </w:tr>
      <w:tr w:rsidR="006C7F4D" w:rsidRPr="004C2CA1" w:rsidTr="006C7F4D">
        <w:tc>
          <w:tcPr>
            <w:tcW w:w="2660" w:type="dxa"/>
          </w:tcPr>
          <w:p w:rsidR="006C7F4D" w:rsidRPr="004C2CA1" w:rsidRDefault="006C7F4D" w:rsidP="00C03B7F">
            <w:pPr>
              <w:pStyle w:val="a5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397" w:type="dxa"/>
          </w:tcPr>
          <w:p w:rsidR="006C7F4D" w:rsidRPr="004C2CA1" w:rsidRDefault="006C7F4D" w:rsidP="00C03B7F">
            <w:pPr>
              <w:pStyle w:val="a5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343" w:type="dxa"/>
          </w:tcPr>
          <w:p w:rsidR="006C7F4D" w:rsidRPr="004C2CA1" w:rsidRDefault="006C7F4D" w:rsidP="00C03B7F">
            <w:pPr>
              <w:pStyle w:val="a5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1910" w:type="dxa"/>
          </w:tcPr>
          <w:p w:rsidR="006C7F4D" w:rsidRPr="004C2CA1" w:rsidRDefault="006C7F4D" w:rsidP="00C03B7F">
            <w:pPr>
              <w:pStyle w:val="a5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1579" w:type="dxa"/>
          </w:tcPr>
          <w:p w:rsidR="006C7F4D" w:rsidRPr="004C2CA1" w:rsidRDefault="006C7F4D" w:rsidP="00C03B7F">
            <w:pPr>
              <w:pStyle w:val="a5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1795" w:type="dxa"/>
          </w:tcPr>
          <w:p w:rsidR="006C7F4D" w:rsidRPr="004C2CA1" w:rsidRDefault="006C7F4D" w:rsidP="00C03B7F">
            <w:pPr>
              <w:pStyle w:val="a5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039" w:type="dxa"/>
          </w:tcPr>
          <w:p w:rsidR="006C7F4D" w:rsidRPr="004C2CA1" w:rsidRDefault="006C7F4D" w:rsidP="00C03B7F">
            <w:pPr>
              <w:pStyle w:val="a5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</w:tbl>
    <w:p w:rsidR="00C03B7F" w:rsidRPr="004C2CA1" w:rsidRDefault="00C03B7F" w:rsidP="00C03B7F">
      <w:pPr>
        <w:pStyle w:val="a5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C03B7F" w:rsidRPr="004C2CA1" w:rsidRDefault="00C03B7F" w:rsidP="004F601A">
      <w:pPr>
        <w:pStyle w:val="a5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C03B7F" w:rsidRPr="004C2CA1" w:rsidRDefault="00C03B7F" w:rsidP="004F601A">
      <w:pPr>
        <w:pStyle w:val="a5"/>
        <w:ind w:left="482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547AA0" w:rsidRPr="004C2CA1" w:rsidRDefault="00547AA0" w:rsidP="00AD0CFE">
      <w:pPr>
        <w:pStyle w:val="a5"/>
        <w:rPr>
          <w:rFonts w:ascii="Times New Roman" w:eastAsia="Calibri" w:hAnsi="Times New Roman" w:cs="Times New Roman"/>
          <w:bCs/>
          <w:kern w:val="28"/>
          <w:sz w:val="28"/>
          <w:szCs w:val="28"/>
        </w:rPr>
        <w:sectPr w:rsidR="00547AA0" w:rsidRPr="004C2CA1" w:rsidSect="005C2084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150037" w:rsidRPr="00150037" w:rsidRDefault="00150037" w:rsidP="0067779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50037" w:rsidRPr="00150037" w:rsidRDefault="00150037" w:rsidP="006777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67779C" w:rsidRPr="003D0B6C" w:rsidRDefault="00150037" w:rsidP="0067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79C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признания расходами</w:t>
      </w:r>
      <w:r w:rsidR="007C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79C" w:rsidRPr="003D0B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7779C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екущего</w:t>
      </w:r>
      <w:r w:rsidR="0067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79C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77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67779C" w:rsidRPr="003D0B6C" w:rsidRDefault="0067779C" w:rsidP="0067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7C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3D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67779C" w:rsidRPr="00BE2B41" w:rsidRDefault="0067779C" w:rsidP="0067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 в объекты</w:t>
      </w:r>
      <w:r w:rsidR="007C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созданы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0037" w:rsidRPr="00150037" w:rsidRDefault="00150037" w:rsidP="00BD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37" w:rsidRPr="00150037" w:rsidRDefault="00150037" w:rsidP="00B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E0" w:rsidRDefault="00150037" w:rsidP="00AD0CFE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подготовлен </w:t>
      </w:r>
      <w:r w:rsidR="006A4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6A4AE0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6A4A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A4AE0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6A4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A4AE0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признании расходами текущего финансового года произведенных за счет средств бюджета </w:t>
      </w:r>
      <w:r w:rsidR="006A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6A4AE0" w:rsidRP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 в объекты основных средств, которые не были созданы</w:t>
      </w:r>
      <w:r w:rsidR="00BD0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правильного отражения указанных расходов в данных бухгалтерского учета.</w:t>
      </w:r>
    </w:p>
    <w:p w:rsidR="00121584" w:rsidRDefault="006A4AE0" w:rsidP="00AD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</w:t>
      </w:r>
      <w:r w:rsidR="00D8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2016 года на балансе Министерства строительства Камчатского края в составе за</w:t>
      </w:r>
      <w:r w:rsidR="00D15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D8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незавершенного строительства учитываются затраты в </w:t>
      </w:r>
      <w:r w:rsidR="00D15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D8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7 102 982,4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121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584" w:rsidRDefault="00121584" w:rsidP="00AD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1 697 041,2 тыс. рублей – </w:t>
      </w:r>
      <w:r w:rsidR="00F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47 объектам сейсмоусиления в </w:t>
      </w:r>
      <w:r w:rsidR="00D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Петропавловске-Камчатском, введе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эксплуатацию в 2011 году;</w:t>
      </w:r>
    </w:p>
    <w:p w:rsidR="00A461EB" w:rsidRDefault="00D152D9" w:rsidP="00AD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- 17 403,8 тыс. рублей – </w:t>
      </w:r>
      <w:r w:rsidR="00A46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в 2010-2011 годах невостребованной проектной документации</w:t>
      </w:r>
      <w:r w:rsidR="00185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5F9" w:rsidRPr="00AD0CFE" w:rsidRDefault="001855F9" w:rsidP="00AD0C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54690"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A54690"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CFE">
        <w:rPr>
          <w:rFonts w:ascii="Times New Roman" w:hAnsi="Times New Roman" w:cs="Times New Roman"/>
          <w:sz w:val="28"/>
          <w:szCs w:val="28"/>
        </w:rPr>
        <w:t>Счетной палат</w:t>
      </w:r>
      <w:r w:rsidR="00A54690" w:rsidRPr="00AD0CFE">
        <w:rPr>
          <w:rFonts w:ascii="Times New Roman" w:hAnsi="Times New Roman" w:cs="Times New Roman"/>
          <w:sz w:val="28"/>
          <w:szCs w:val="28"/>
        </w:rPr>
        <w:t>ы</w:t>
      </w:r>
      <w:r w:rsidRPr="00AD0CFE">
        <w:rPr>
          <w:rFonts w:ascii="Times New Roman" w:hAnsi="Times New Roman" w:cs="Times New Roman"/>
          <w:sz w:val="28"/>
          <w:szCs w:val="28"/>
        </w:rPr>
        <w:t xml:space="preserve"> Российской Федерации по результатам контрольного мероприятия «Проверка отчетов об исполнении бюджетов субъектов Российской Федерации за 2014 год, в которых доля </w:t>
      </w:r>
      <w:r w:rsidRPr="00AD0CFE">
        <w:rPr>
          <w:rFonts w:ascii="Times New Roman" w:hAnsi="Times New Roman" w:cs="Times New Roman"/>
          <w:kern w:val="2"/>
          <w:sz w:val="28"/>
          <w:szCs w:val="28"/>
        </w:rPr>
        <w:t>межбюджетных трансфертов (за исключением субвенций)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субъекта, и принимаемых государственными органами исполнительной власти мерах по сбалансированности бюджетов высокодотационных субъектов Российской Федерации» отмечено следующее:    «В составе незавершенного строительства числятся затраты в сумме 117 493,0 тыс. рублей на разработку ПСД по 20 объектам, которая остается невостребованной более 2 лет, в том числе:</w:t>
      </w:r>
    </w:p>
    <w:p w:rsidR="001855F9" w:rsidRPr="00AD0CFE" w:rsidRDefault="001855F9" w:rsidP="00AD0C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CFE">
        <w:rPr>
          <w:rFonts w:ascii="Times New Roman" w:hAnsi="Times New Roman" w:cs="Times New Roman"/>
          <w:kern w:val="2"/>
          <w:sz w:val="28"/>
          <w:szCs w:val="28"/>
        </w:rPr>
        <w:t>Мин</w:t>
      </w:r>
      <w:r w:rsidR="00A54690" w:rsidRPr="00AD0CFE">
        <w:rPr>
          <w:rFonts w:ascii="Times New Roman" w:hAnsi="Times New Roman" w:cs="Times New Roman"/>
          <w:kern w:val="2"/>
          <w:sz w:val="28"/>
          <w:szCs w:val="28"/>
        </w:rPr>
        <w:t>истерство строительства Камчатского</w:t>
      </w:r>
      <w:r w:rsidRPr="00AD0CFE">
        <w:rPr>
          <w:rFonts w:ascii="Times New Roman" w:hAnsi="Times New Roman" w:cs="Times New Roman"/>
          <w:kern w:val="2"/>
          <w:sz w:val="28"/>
          <w:szCs w:val="28"/>
        </w:rPr>
        <w:t xml:space="preserve"> края – по 6 объектам на сумму 18 481,9 тыс. рублей;</w:t>
      </w:r>
    </w:p>
    <w:p w:rsidR="001855F9" w:rsidRPr="00AD0CFE" w:rsidRDefault="00341BB7" w:rsidP="00AD0C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CFE">
        <w:rPr>
          <w:rFonts w:ascii="Times New Roman" w:hAnsi="Times New Roman" w:cs="Times New Roman"/>
          <w:kern w:val="2"/>
          <w:sz w:val="28"/>
          <w:szCs w:val="28"/>
        </w:rPr>
        <w:t xml:space="preserve">Министерства образования </w:t>
      </w:r>
      <w:r w:rsidR="00A54690" w:rsidRPr="00AD0CFE">
        <w:rPr>
          <w:rFonts w:ascii="Times New Roman" w:hAnsi="Times New Roman" w:cs="Times New Roman"/>
          <w:kern w:val="2"/>
          <w:sz w:val="28"/>
          <w:szCs w:val="28"/>
        </w:rPr>
        <w:t xml:space="preserve">Камчатского </w:t>
      </w:r>
      <w:r w:rsidRPr="00AD0CFE">
        <w:rPr>
          <w:rFonts w:ascii="Times New Roman" w:hAnsi="Times New Roman" w:cs="Times New Roman"/>
          <w:kern w:val="2"/>
          <w:sz w:val="28"/>
          <w:szCs w:val="28"/>
        </w:rPr>
        <w:t>края – по 5 объектам на сумму 4 741,4 тыс. рублей;</w:t>
      </w:r>
    </w:p>
    <w:p w:rsidR="00341BB7" w:rsidRPr="00AD0CFE" w:rsidRDefault="00341BB7" w:rsidP="00AD0C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CFE">
        <w:rPr>
          <w:rFonts w:ascii="Times New Roman" w:hAnsi="Times New Roman" w:cs="Times New Roman"/>
          <w:kern w:val="2"/>
          <w:sz w:val="28"/>
          <w:szCs w:val="28"/>
        </w:rPr>
        <w:t>Мин</w:t>
      </w:r>
      <w:r w:rsidR="00A54690" w:rsidRPr="00AD0CFE">
        <w:rPr>
          <w:rFonts w:ascii="Times New Roman" w:hAnsi="Times New Roman" w:cs="Times New Roman"/>
          <w:kern w:val="2"/>
          <w:sz w:val="28"/>
          <w:szCs w:val="28"/>
        </w:rPr>
        <w:t>истерство транспорта и дорожного строительства Камчатского</w:t>
      </w:r>
      <w:r w:rsidRPr="00AD0CFE">
        <w:rPr>
          <w:rFonts w:ascii="Times New Roman" w:hAnsi="Times New Roman" w:cs="Times New Roman"/>
          <w:kern w:val="2"/>
          <w:sz w:val="28"/>
          <w:szCs w:val="28"/>
        </w:rPr>
        <w:t xml:space="preserve"> края – по 9 дорожным объектам на сумму 94 269,7 тыс. рублей»</w:t>
      </w:r>
    </w:p>
    <w:p w:rsidR="00150037" w:rsidRPr="00150037" w:rsidRDefault="00150037" w:rsidP="00A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настоящего постановления не потребует дополнительного финансирования из средств краевого бюджета.</w:t>
      </w:r>
    </w:p>
    <w:p w:rsidR="00150037" w:rsidRPr="00A54690" w:rsidRDefault="00150037" w:rsidP="00AD0C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150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</w:t>
      </w:r>
      <w:r w:rsidRPr="00150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действия проектов нормативных правовых актов Камчатского края и экспер</w:t>
      </w:r>
      <w:r w:rsidRPr="00150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тизы нормативных правовых актов Камчатского края</w:t>
      </w:r>
      <w:r w:rsidR="00A5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A54690" w:rsidRPr="00A54690">
        <w:rPr>
          <w:rFonts w:ascii="Times New Roman" w:hAnsi="Times New Roman" w:cs="Times New Roman"/>
          <w:sz w:val="28"/>
          <w:szCs w:val="28"/>
        </w:rPr>
        <w:t xml:space="preserve"> </w:t>
      </w:r>
      <w:r w:rsidR="00A54690" w:rsidRPr="00A54690">
        <w:rPr>
          <w:rFonts w:ascii="Times New Roman" w:hAnsi="Times New Roman" w:cs="Times New Roman"/>
          <w:sz w:val="28"/>
          <w:szCs w:val="28"/>
        </w:rPr>
        <w:t>так как не затрагивает вопросы осуществления предпринимательской и инвестиционной деятельности.</w:t>
      </w:r>
    </w:p>
    <w:p w:rsidR="00150037" w:rsidRPr="00AD0CFE" w:rsidRDefault="00150037" w:rsidP="00AD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690"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690"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54690"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Ин</w:t>
      </w: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тернет для проведения в срок до 0</w:t>
      </w:r>
      <w:r w:rsid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независимой экспертизы на коррупциогенность. </w:t>
      </w:r>
    </w:p>
    <w:p w:rsidR="00150037" w:rsidRPr="00AD0CFE" w:rsidRDefault="00150037" w:rsidP="00AD0CFE">
      <w:pPr>
        <w:pStyle w:val="a5"/>
        <w:tabs>
          <w:tab w:val="left" w:pos="709"/>
        </w:tabs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sectPr w:rsidR="00150037" w:rsidRPr="00AD0CFE" w:rsidSect="005C20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FB"/>
    <w:rsid w:val="00036F51"/>
    <w:rsid w:val="00091AFB"/>
    <w:rsid w:val="000D639A"/>
    <w:rsid w:val="000E37D2"/>
    <w:rsid w:val="00121584"/>
    <w:rsid w:val="00150037"/>
    <w:rsid w:val="0015448F"/>
    <w:rsid w:val="00163509"/>
    <w:rsid w:val="00173CE3"/>
    <w:rsid w:val="001815AA"/>
    <w:rsid w:val="001855F9"/>
    <w:rsid w:val="001C6B55"/>
    <w:rsid w:val="00221029"/>
    <w:rsid w:val="00226F2C"/>
    <w:rsid w:val="00227D6B"/>
    <w:rsid w:val="00240829"/>
    <w:rsid w:val="002410C9"/>
    <w:rsid w:val="002A14A9"/>
    <w:rsid w:val="00305CED"/>
    <w:rsid w:val="0032630C"/>
    <w:rsid w:val="00341BB7"/>
    <w:rsid w:val="003604A9"/>
    <w:rsid w:val="00381D82"/>
    <w:rsid w:val="003C325F"/>
    <w:rsid w:val="003D0B6C"/>
    <w:rsid w:val="003D1C5A"/>
    <w:rsid w:val="003F184E"/>
    <w:rsid w:val="0042468B"/>
    <w:rsid w:val="004733C6"/>
    <w:rsid w:val="00497554"/>
    <w:rsid w:val="004C2CA1"/>
    <w:rsid w:val="004E49F5"/>
    <w:rsid w:val="004F601A"/>
    <w:rsid w:val="00504ED0"/>
    <w:rsid w:val="00510A46"/>
    <w:rsid w:val="00547AA0"/>
    <w:rsid w:val="00566CB2"/>
    <w:rsid w:val="00576B02"/>
    <w:rsid w:val="005C2084"/>
    <w:rsid w:val="005C6E4C"/>
    <w:rsid w:val="005E3C15"/>
    <w:rsid w:val="00644AA9"/>
    <w:rsid w:val="006557CD"/>
    <w:rsid w:val="0067779C"/>
    <w:rsid w:val="006921AB"/>
    <w:rsid w:val="006A4AE0"/>
    <w:rsid w:val="006B0D21"/>
    <w:rsid w:val="006C7F4D"/>
    <w:rsid w:val="006E6564"/>
    <w:rsid w:val="00747738"/>
    <w:rsid w:val="007C4CAD"/>
    <w:rsid w:val="007D0931"/>
    <w:rsid w:val="007D3C21"/>
    <w:rsid w:val="007D6B7D"/>
    <w:rsid w:val="008001F7"/>
    <w:rsid w:val="0083524C"/>
    <w:rsid w:val="00870806"/>
    <w:rsid w:val="0089479D"/>
    <w:rsid w:val="008A1266"/>
    <w:rsid w:val="008B2233"/>
    <w:rsid w:val="008B6872"/>
    <w:rsid w:val="008E0C31"/>
    <w:rsid w:val="009D0D6C"/>
    <w:rsid w:val="00A0448D"/>
    <w:rsid w:val="00A10B55"/>
    <w:rsid w:val="00A461EB"/>
    <w:rsid w:val="00A54690"/>
    <w:rsid w:val="00A92816"/>
    <w:rsid w:val="00AA7CBF"/>
    <w:rsid w:val="00AB3701"/>
    <w:rsid w:val="00AD0CFE"/>
    <w:rsid w:val="00B3026C"/>
    <w:rsid w:val="00BA27E9"/>
    <w:rsid w:val="00BA6D54"/>
    <w:rsid w:val="00BD0595"/>
    <w:rsid w:val="00BE2B41"/>
    <w:rsid w:val="00C03B7F"/>
    <w:rsid w:val="00C1539D"/>
    <w:rsid w:val="00C4040F"/>
    <w:rsid w:val="00C51729"/>
    <w:rsid w:val="00C672DB"/>
    <w:rsid w:val="00C73D36"/>
    <w:rsid w:val="00C935AF"/>
    <w:rsid w:val="00D152D9"/>
    <w:rsid w:val="00D23365"/>
    <w:rsid w:val="00D2557C"/>
    <w:rsid w:val="00D84478"/>
    <w:rsid w:val="00D86FA9"/>
    <w:rsid w:val="00DA3595"/>
    <w:rsid w:val="00DB19DA"/>
    <w:rsid w:val="00DB55D2"/>
    <w:rsid w:val="00DC66B8"/>
    <w:rsid w:val="00EC43E7"/>
    <w:rsid w:val="00F048AC"/>
    <w:rsid w:val="00F37076"/>
    <w:rsid w:val="00FC0590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66B8"/>
    <w:pPr>
      <w:spacing w:after="0" w:line="240" w:lineRule="auto"/>
    </w:pPr>
  </w:style>
  <w:style w:type="table" w:styleId="a6">
    <w:name w:val="Table Grid"/>
    <w:basedOn w:val="a1"/>
    <w:uiPriority w:val="59"/>
    <w:rsid w:val="0054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C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66B8"/>
    <w:pPr>
      <w:spacing w:after="0" w:line="240" w:lineRule="auto"/>
    </w:pPr>
  </w:style>
  <w:style w:type="table" w:styleId="a6">
    <w:name w:val="Table Grid"/>
    <w:basedOn w:val="a1"/>
    <w:uiPriority w:val="59"/>
    <w:rsid w:val="0054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C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22405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224056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56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22405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2340</Words>
  <Characters>13338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принятия решений о признании расходами текущего финансового года</vt:lpstr>
      <vt:lpstr>    произведенных за счет средств бюджета Камчатского края капитальных вложений в об</vt:lpstr>
      <vt:lpstr>    </vt:lpstr>
      <vt:lpstr>    </vt:lpstr>
      <vt:lpstr>    Состав Межведомственной комиссии</vt:lpstr>
      <vt:lpstr>    по определению направлений дальнейшего использования объектов основных средств (</vt:lpstr>
      <vt:lpstr>    Положение </vt:lpstr>
      <vt:lpstr>    о Межведомственной комиссии по определению направлений дальнейшего использования</vt:lpstr>
      <vt:lpstr>    принятия решений о признании расходами</vt:lpstr>
      <vt:lpstr>    текущего финансового года</vt:lpstr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Светлана Анатольевна</dc:creator>
  <cp:lastModifiedBy>Воронова Елена Николаевна</cp:lastModifiedBy>
  <cp:revision>2</cp:revision>
  <cp:lastPrinted>2016-03-15T00:07:00Z</cp:lastPrinted>
  <dcterms:created xsi:type="dcterms:W3CDTF">2016-03-28T02:22:00Z</dcterms:created>
  <dcterms:modified xsi:type="dcterms:W3CDTF">2016-03-28T02:22:00Z</dcterms:modified>
</cp:coreProperties>
</file>