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D9" w:rsidRDefault="00C123F7" w:rsidP="000D6BD9">
      <w:pPr>
        <w:spacing w:after="0"/>
        <w:ind w:left="11766"/>
        <w:rPr>
          <w:rFonts w:ascii="Times New Roman" w:hAnsi="Times New Roman" w:cs="Times New Roman"/>
          <w:sz w:val="24"/>
          <w:szCs w:val="24"/>
        </w:rPr>
      </w:pPr>
      <w:r w:rsidRPr="00AC28AF">
        <w:rPr>
          <w:rFonts w:ascii="Times New Roman" w:hAnsi="Times New Roman" w:cs="Times New Roman"/>
          <w:sz w:val="24"/>
          <w:szCs w:val="24"/>
        </w:rPr>
        <w:t xml:space="preserve">Приложение к приказу Министерства сельского хозяйства, пищевой и </w:t>
      </w:r>
      <w:r w:rsidR="003E609C" w:rsidRPr="00AC28AF">
        <w:rPr>
          <w:rFonts w:ascii="Times New Roman" w:hAnsi="Times New Roman" w:cs="Times New Roman"/>
          <w:sz w:val="24"/>
          <w:szCs w:val="24"/>
        </w:rPr>
        <w:t xml:space="preserve">перерабатывающей промышленности Камчатского края </w:t>
      </w:r>
    </w:p>
    <w:p w:rsidR="00C123F7" w:rsidRPr="00AC28AF" w:rsidRDefault="003E609C" w:rsidP="000D6BD9">
      <w:pPr>
        <w:ind w:left="11766"/>
        <w:rPr>
          <w:rFonts w:ascii="Times New Roman" w:hAnsi="Times New Roman" w:cs="Times New Roman"/>
          <w:sz w:val="24"/>
          <w:szCs w:val="24"/>
        </w:rPr>
      </w:pPr>
      <w:r w:rsidRPr="00AC28AF">
        <w:rPr>
          <w:rFonts w:ascii="Times New Roman" w:hAnsi="Times New Roman" w:cs="Times New Roman"/>
          <w:sz w:val="24"/>
          <w:szCs w:val="24"/>
        </w:rPr>
        <w:t>от</w:t>
      </w:r>
      <w:r w:rsidR="000D6BD9">
        <w:rPr>
          <w:rFonts w:ascii="Times New Roman" w:hAnsi="Times New Roman" w:cs="Times New Roman"/>
          <w:sz w:val="24"/>
          <w:szCs w:val="24"/>
        </w:rPr>
        <w:t> </w:t>
      </w:r>
      <w:r w:rsidRPr="00AC28AF">
        <w:rPr>
          <w:rFonts w:ascii="Times New Roman" w:hAnsi="Times New Roman" w:cs="Times New Roman"/>
          <w:sz w:val="24"/>
          <w:szCs w:val="24"/>
        </w:rPr>
        <w:t>«</w:t>
      </w:r>
      <w:r w:rsidR="000D6BD9">
        <w:rPr>
          <w:rFonts w:ascii="Times New Roman" w:hAnsi="Times New Roman" w:cs="Times New Roman"/>
          <w:sz w:val="24"/>
          <w:szCs w:val="24"/>
        </w:rPr>
        <w:t>28</w:t>
      </w:r>
      <w:r w:rsidRPr="00AC28AF">
        <w:rPr>
          <w:rFonts w:ascii="Times New Roman" w:hAnsi="Times New Roman" w:cs="Times New Roman"/>
          <w:sz w:val="24"/>
          <w:szCs w:val="24"/>
        </w:rPr>
        <w:t>»</w:t>
      </w:r>
      <w:r w:rsidR="000D6BD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C28AF">
        <w:rPr>
          <w:rFonts w:ascii="Times New Roman" w:hAnsi="Times New Roman" w:cs="Times New Roman"/>
          <w:sz w:val="24"/>
          <w:szCs w:val="24"/>
        </w:rPr>
        <w:t>20</w:t>
      </w:r>
      <w:r w:rsidR="00C71D5B">
        <w:rPr>
          <w:rFonts w:ascii="Times New Roman" w:hAnsi="Times New Roman" w:cs="Times New Roman"/>
          <w:sz w:val="24"/>
          <w:szCs w:val="24"/>
        </w:rPr>
        <w:t xml:space="preserve">21 </w:t>
      </w:r>
      <w:r w:rsidRPr="00AC28AF">
        <w:rPr>
          <w:rFonts w:ascii="Times New Roman" w:hAnsi="Times New Roman" w:cs="Times New Roman"/>
          <w:sz w:val="24"/>
          <w:szCs w:val="24"/>
        </w:rPr>
        <w:t>№ 29/</w:t>
      </w:r>
      <w:r w:rsidR="000D6BD9">
        <w:rPr>
          <w:rFonts w:ascii="Times New Roman" w:hAnsi="Times New Roman" w:cs="Times New Roman"/>
          <w:sz w:val="24"/>
          <w:szCs w:val="24"/>
        </w:rPr>
        <w:t>108</w:t>
      </w:r>
    </w:p>
    <w:p w:rsidR="00C123F7" w:rsidRPr="006F0850" w:rsidRDefault="00C123F7" w:rsidP="006F0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5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0850" w:rsidRPr="006F0850" w:rsidRDefault="00C123F7" w:rsidP="006F0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50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</w:p>
    <w:p w:rsidR="006F0850" w:rsidRPr="006F0850" w:rsidRDefault="00C123F7" w:rsidP="006F0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50">
        <w:rPr>
          <w:rFonts w:ascii="Times New Roman" w:hAnsi="Times New Roman" w:cs="Times New Roman"/>
          <w:b/>
          <w:sz w:val="24"/>
          <w:szCs w:val="24"/>
        </w:rPr>
        <w:t xml:space="preserve">в Министерстве сельского хозяйства, пищевой и перерабатывающей промышленности </w:t>
      </w:r>
    </w:p>
    <w:p w:rsidR="00071A40" w:rsidRPr="006F0850" w:rsidRDefault="00C123F7" w:rsidP="006F0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50">
        <w:rPr>
          <w:rFonts w:ascii="Times New Roman" w:hAnsi="Times New Roman" w:cs="Times New Roman"/>
          <w:b/>
          <w:sz w:val="24"/>
          <w:szCs w:val="24"/>
        </w:rPr>
        <w:t xml:space="preserve">Камчатского края </w:t>
      </w:r>
      <w:r w:rsidR="00211F7A">
        <w:rPr>
          <w:rFonts w:ascii="Times New Roman" w:hAnsi="Times New Roman" w:cs="Times New Roman"/>
          <w:b/>
          <w:sz w:val="24"/>
          <w:szCs w:val="24"/>
        </w:rPr>
        <w:t xml:space="preserve">(далее – Министерство) </w:t>
      </w:r>
      <w:r w:rsidRPr="006F0850">
        <w:rPr>
          <w:rFonts w:ascii="Times New Roman" w:hAnsi="Times New Roman" w:cs="Times New Roman"/>
          <w:b/>
          <w:sz w:val="24"/>
          <w:szCs w:val="24"/>
        </w:rPr>
        <w:t>на 20</w:t>
      </w:r>
      <w:r w:rsidR="00C71D5B">
        <w:rPr>
          <w:rFonts w:ascii="Times New Roman" w:hAnsi="Times New Roman" w:cs="Times New Roman"/>
          <w:b/>
          <w:sz w:val="24"/>
          <w:szCs w:val="24"/>
        </w:rPr>
        <w:t>21</w:t>
      </w:r>
      <w:r w:rsidRPr="006F0850">
        <w:rPr>
          <w:rFonts w:ascii="Times New Roman" w:hAnsi="Times New Roman" w:cs="Times New Roman"/>
          <w:b/>
          <w:sz w:val="24"/>
          <w:szCs w:val="24"/>
        </w:rPr>
        <w:t>-202</w:t>
      </w:r>
      <w:r w:rsidR="00C71D5B">
        <w:rPr>
          <w:rFonts w:ascii="Times New Roman" w:hAnsi="Times New Roman" w:cs="Times New Roman"/>
          <w:b/>
          <w:sz w:val="24"/>
          <w:szCs w:val="24"/>
        </w:rPr>
        <w:t>4</w:t>
      </w:r>
      <w:r w:rsidRPr="006F085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E609C" w:rsidRPr="006F0850" w:rsidRDefault="003E609C" w:rsidP="00AC28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696"/>
        <w:gridCol w:w="11778"/>
        <w:gridCol w:w="2410"/>
      </w:tblGrid>
      <w:tr w:rsidR="005724B0" w:rsidRPr="00AC28AF" w:rsidTr="005724B0">
        <w:tc>
          <w:tcPr>
            <w:tcW w:w="696" w:type="dxa"/>
          </w:tcPr>
          <w:p w:rsidR="005724B0" w:rsidRPr="00AC28AF" w:rsidRDefault="005724B0" w:rsidP="006F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78" w:type="dxa"/>
          </w:tcPr>
          <w:p w:rsidR="005724B0" w:rsidRPr="00AC28AF" w:rsidRDefault="005724B0" w:rsidP="006F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5724B0" w:rsidRPr="00AC28AF" w:rsidRDefault="005724B0" w:rsidP="006F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</w:tr>
      <w:tr w:rsidR="0018489E" w:rsidRPr="00AC28AF" w:rsidTr="005724B0">
        <w:tc>
          <w:tcPr>
            <w:tcW w:w="14884" w:type="dxa"/>
            <w:gridSpan w:val="3"/>
          </w:tcPr>
          <w:p w:rsidR="0018489E" w:rsidRPr="00211F7A" w:rsidRDefault="0018489E" w:rsidP="00211F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Камчатском крае, выявление и устранение коррупционных рисков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4A1D98" w:rsidRDefault="005724B0" w:rsidP="004A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778" w:type="dxa"/>
          </w:tcPr>
          <w:p w:rsidR="005724B0" w:rsidRPr="00AC28AF" w:rsidRDefault="005724B0" w:rsidP="0021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правовых актов Губернатора и Правительства Камчатского края в целях реализации федерального законодательства по противодействию коррупции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778" w:type="dxa"/>
          </w:tcPr>
          <w:p w:rsidR="005724B0" w:rsidRPr="00AC28AF" w:rsidRDefault="005724B0" w:rsidP="0021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федерального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и краевого законодательства по вопросам противодействия коррупции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4A1D98" w:rsidRDefault="005724B0" w:rsidP="004A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778" w:type="dxa"/>
          </w:tcPr>
          <w:p w:rsidR="005724B0" w:rsidRPr="00AC28AF" w:rsidRDefault="005724B0" w:rsidP="0021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проектов правовых актов в целях противодействия</w:t>
            </w:r>
          </w:p>
          <w:p w:rsidR="005724B0" w:rsidRPr="00AC28AF" w:rsidRDefault="005724B0" w:rsidP="0021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Камчатгосплем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4A1D98" w:rsidRDefault="005724B0" w:rsidP="004A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778" w:type="dxa"/>
          </w:tcPr>
          <w:p w:rsidR="005724B0" w:rsidRPr="00AC28AF" w:rsidRDefault="005724B0" w:rsidP="0021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1778" w:type="dxa"/>
          </w:tcPr>
          <w:p w:rsidR="005724B0" w:rsidRPr="00AC28AF" w:rsidRDefault="005724B0" w:rsidP="0021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противодействию</w:t>
            </w:r>
          </w:p>
          <w:p w:rsidR="005724B0" w:rsidRPr="00AC28AF" w:rsidRDefault="005724B0" w:rsidP="0021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Камчатгосплем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том числе рассмотрение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на заседаниях данных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о состоянии работы по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1778" w:type="dxa"/>
          </w:tcPr>
          <w:p w:rsidR="005724B0" w:rsidRPr="00AC28AF" w:rsidRDefault="005724B0" w:rsidP="00C71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1778" w:type="dxa"/>
          </w:tcPr>
          <w:p w:rsidR="005724B0" w:rsidRPr="00AC28AF" w:rsidRDefault="005724B0" w:rsidP="0054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обсуждений (с привлечением экспертного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сообщества) проектов планов противодействия коррупции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1778" w:type="dxa"/>
          </w:tcPr>
          <w:p w:rsidR="005724B0" w:rsidRPr="00AC28AF" w:rsidRDefault="005724B0" w:rsidP="0021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и реализации мер по предупреждению коррупции</w:t>
            </w:r>
          </w:p>
          <w:p w:rsidR="005724B0" w:rsidRPr="00AC28AF" w:rsidRDefault="005724B0" w:rsidP="0021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Камчатгосплем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1778" w:type="dxa"/>
          </w:tcPr>
          <w:p w:rsidR="005724B0" w:rsidRPr="00AC28AF" w:rsidRDefault="005724B0" w:rsidP="0021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состояния финансовой дисциплины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Камчатгосплем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1778" w:type="dxa"/>
          </w:tcPr>
          <w:p w:rsidR="005724B0" w:rsidRPr="00AC28AF" w:rsidRDefault="005724B0" w:rsidP="0021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коррупционных рисков,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при реализации возложенных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Министерство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01 марта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годом отчетным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1778" w:type="dxa"/>
          </w:tcPr>
          <w:p w:rsidR="005724B0" w:rsidRPr="00AC28AF" w:rsidRDefault="005724B0" w:rsidP="0021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о фактах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8" w:type="dxa"/>
          </w:tcPr>
          <w:p w:rsidR="005724B0" w:rsidRPr="00AC28AF" w:rsidRDefault="005724B0" w:rsidP="0021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принятых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вопросам противодействия коррупции в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установления их соответствия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законодательству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083C8E" w:rsidRPr="00AC28AF" w:rsidTr="005724B0">
        <w:tc>
          <w:tcPr>
            <w:tcW w:w="14884" w:type="dxa"/>
            <w:gridSpan w:val="3"/>
          </w:tcPr>
          <w:p w:rsidR="00083C8E" w:rsidRPr="00AC28AF" w:rsidRDefault="00083C8E" w:rsidP="005C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</w:t>
            </w:r>
          </w:p>
          <w:p w:rsidR="00083C8E" w:rsidRPr="00AC28AF" w:rsidRDefault="00083C8E" w:rsidP="005C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кадровой политики исполнительных органов государственной власти Камчатского края, органов местного самоуправления</w:t>
            </w:r>
          </w:p>
          <w:p w:rsidR="00083C8E" w:rsidRPr="00AC28AF" w:rsidRDefault="00083C8E" w:rsidP="005C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в Камчатском крае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778" w:type="dxa"/>
          </w:tcPr>
          <w:p w:rsidR="005724B0" w:rsidRPr="00AC28AF" w:rsidRDefault="005724B0" w:rsidP="0012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778" w:type="dxa"/>
          </w:tcPr>
          <w:p w:rsidR="005724B0" w:rsidRPr="00AC28AF" w:rsidRDefault="005724B0" w:rsidP="0012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Справки 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лицами, претендующ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на замещение должностей или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замещающими должности,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ествление полномочий по которым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влечет за собой обязанность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сведения о своих доходах,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расходах, об имуществе и обязательствах имущественного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рактера,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характера своих супругов и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ннолетних детей (далее-сведения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доходах), при заполнении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справок о доходах, расходах, об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 имущественного характера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алее-справки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 доходах)</w:t>
            </w:r>
          </w:p>
        </w:tc>
        <w:tc>
          <w:tcPr>
            <w:tcW w:w="2410" w:type="dxa"/>
          </w:tcPr>
          <w:p w:rsidR="005724B0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778" w:type="dxa"/>
          </w:tcPr>
          <w:p w:rsidR="005724B0" w:rsidRPr="00AC28AF" w:rsidRDefault="005724B0" w:rsidP="0012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в них сведений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1778" w:type="dxa"/>
          </w:tcPr>
          <w:p w:rsidR="005724B0" w:rsidRPr="00AC28AF" w:rsidRDefault="005724B0" w:rsidP="0012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анализа достоверности и полноты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доходах, представленных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замещающими государственные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, должности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службы Камчатского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края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,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доходах, представленных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Камчатгосплем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01 июля года, следующего за отчетным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1778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</w:t>
            </w:r>
          </w:p>
          <w:p w:rsidR="005724B0" w:rsidRPr="00AC28AF" w:rsidRDefault="005724B0" w:rsidP="0012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Камчатского края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, должностей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Министерстве,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Камчатгосплем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, лицами, замещающими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указанные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соблюдения данными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лицами запретов, ограничений 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ебований, установленных в целях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1778" w:type="dxa"/>
          </w:tcPr>
          <w:p w:rsidR="005724B0" w:rsidRPr="00AC28AF" w:rsidRDefault="005724B0" w:rsidP="0012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лицами, замещающими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Камчатского края,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государственной гражданской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ограничений и требований,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вленных в целях противодействия к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оррупции, в том числе касающихс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получения подарков отдельными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категориями лиц, выполнения иной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плачиваемой работы, обязанности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уведомлять об обращениях в целях склон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к совершению коррупционных п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равонарушений,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осуществления контрольных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1778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лицами, замещающими государственные</w:t>
            </w:r>
          </w:p>
          <w:p w:rsidR="005724B0" w:rsidRPr="00AC28AF" w:rsidRDefault="005724B0" w:rsidP="0012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должности Камчатского края, должности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арственной гражданской службы в Министерстве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обязанности 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и (или) урегулированию конфликта интересов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1778" w:type="dxa"/>
          </w:tcPr>
          <w:p w:rsidR="005724B0" w:rsidRPr="00AC28AF" w:rsidRDefault="005724B0" w:rsidP="0012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личной заинтересованности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скрытой </w:t>
            </w:r>
            <w:proofErr w:type="spellStart"/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), которая может</w:t>
            </w:r>
          </w:p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привести к конфликту интересов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1778" w:type="dxa"/>
          </w:tcPr>
          <w:p w:rsidR="005724B0" w:rsidRPr="00AC28AF" w:rsidRDefault="005724B0" w:rsidP="005F3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адровой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работы в части, касающейся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личных дел лиц, замещающих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Камчатского края,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государственной гражданской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контроля за актуализацией сведений,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в анкетах, представляемых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при назначении на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азанные должности и поступлении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на такую службу, об их родственниках и свойственниках в целях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возможного конфликта интересов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1778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деятельности ответственных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иных правонарушений</w:t>
            </w:r>
          </w:p>
        </w:tc>
        <w:tc>
          <w:tcPr>
            <w:tcW w:w="2410" w:type="dxa"/>
          </w:tcPr>
          <w:p w:rsidR="005724B0" w:rsidRPr="00C71D5B" w:rsidRDefault="005724B0" w:rsidP="0057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</w:tr>
      <w:tr w:rsidR="005D5C18" w:rsidRPr="00AC28AF" w:rsidTr="005724B0">
        <w:tc>
          <w:tcPr>
            <w:tcW w:w="14884" w:type="dxa"/>
            <w:gridSpan w:val="3"/>
          </w:tcPr>
          <w:p w:rsidR="005D5C18" w:rsidRPr="00AC28AF" w:rsidRDefault="005D5C18" w:rsidP="00A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3. Повышение эффективности просветительских, образовательных и иных мероприятий, направленных на формирование</w:t>
            </w:r>
          </w:p>
          <w:p w:rsidR="005D5C18" w:rsidRPr="00AC28AF" w:rsidRDefault="005D5C18" w:rsidP="00A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 лиц, замещающих государственные должности Камчатского края, иные должности,</w:t>
            </w:r>
          </w:p>
          <w:p w:rsidR="005D5C18" w:rsidRPr="00AC28AF" w:rsidRDefault="005D5C18" w:rsidP="00A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778" w:type="dxa"/>
          </w:tcPr>
          <w:p w:rsidR="005724B0" w:rsidRPr="00AC28AF" w:rsidRDefault="005724B0" w:rsidP="00A8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лиц, замещающих государственные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края,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778" w:type="dxa"/>
          </w:tcPr>
          <w:p w:rsidR="005724B0" w:rsidRPr="00AC28AF" w:rsidRDefault="005724B0" w:rsidP="00A8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Министерства,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поступивших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гражданскую службу Камчатского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должностей,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включенных в перечни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тей, установленные нормативными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правовыми актами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образовательным программам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778" w:type="dxa"/>
          </w:tcPr>
          <w:p w:rsidR="005724B0" w:rsidRPr="00AC28AF" w:rsidRDefault="005724B0" w:rsidP="00A8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повышения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икации государственных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1778" w:type="dxa"/>
          </w:tcPr>
          <w:p w:rsidR="005724B0" w:rsidRPr="00AC28AF" w:rsidRDefault="005724B0" w:rsidP="000E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ционных, разъяснительных и иных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мер по соблюдению лицами, замещающими государственные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края,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исполнению обязанностей,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установленных в целях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коррупции, недопущению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ими поведения, которое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ожет восприниматься окружающими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как обещание или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дачи взятки либо как согласие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взятку или как просьба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даче взятки, формированию у них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дарению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дарков в связи с их должностным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положением или в связи с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ими служебных обязанностей,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1778" w:type="dxa"/>
          </w:tcPr>
          <w:p w:rsidR="005724B0" w:rsidRPr="00AC28AF" w:rsidRDefault="005724B0" w:rsidP="00164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дню борьбы с коррупцией 9 декабря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1778" w:type="dxa"/>
          </w:tcPr>
          <w:p w:rsidR="005724B0" w:rsidRPr="00AC28AF" w:rsidRDefault="005724B0" w:rsidP="00164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 воспитательных мероприятий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по разъяснению ответственности за преступления 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направленности в соответствующих сферах деятельности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1778" w:type="dxa"/>
          </w:tcPr>
          <w:p w:rsidR="005724B0" w:rsidRPr="00AC28AF" w:rsidRDefault="005724B0" w:rsidP="00164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«прямых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линий» с гражданами по вопросам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просвещения, отнесенным к сфере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1778" w:type="dxa"/>
          </w:tcPr>
          <w:p w:rsidR="005724B0" w:rsidRPr="00AC28AF" w:rsidRDefault="005724B0" w:rsidP="0068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мероприятий, направленных на качественное повыш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ение эффективности информационного сопровождения</w:t>
            </w:r>
          </w:p>
          <w:p w:rsidR="005724B0" w:rsidRPr="00AC28AF" w:rsidRDefault="005724B0" w:rsidP="0068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соответствующих органов,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и должностных лиц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офилактике коррупционных и иных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</w:tr>
      <w:tr w:rsidR="00AC28AF" w:rsidRPr="00AC28AF" w:rsidTr="005724B0">
        <w:tc>
          <w:tcPr>
            <w:tcW w:w="14884" w:type="dxa"/>
            <w:gridSpan w:val="3"/>
          </w:tcPr>
          <w:p w:rsidR="00AC28AF" w:rsidRPr="00AC28AF" w:rsidRDefault="00AC28AF" w:rsidP="00B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4. Расширение взаимодействия исполнительных органов государственной власти Камчатского края, органов местного самоуправления</w:t>
            </w:r>
          </w:p>
          <w:p w:rsidR="00AC28AF" w:rsidRPr="00AC28AF" w:rsidRDefault="00AC28AF" w:rsidP="00C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в Камчатском крае с институтами гражданского общества по вопросам реализ</w:t>
            </w:r>
            <w:r w:rsidR="00B569CF">
              <w:rPr>
                <w:rFonts w:ascii="Times New Roman" w:hAnsi="Times New Roman" w:cs="Times New Roman"/>
                <w:sz w:val="24"/>
                <w:szCs w:val="24"/>
              </w:rPr>
              <w:t xml:space="preserve">ации антикоррупционной политики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в Камчатском крае. </w:t>
            </w:r>
            <w:r w:rsidR="00C07E08" w:rsidRPr="00AC28AF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C07E0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07E08" w:rsidRPr="00AC28A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мер по созданию условий для проявления общественных антикоррупционных инициатив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778" w:type="dxa"/>
          </w:tcPr>
          <w:p w:rsidR="005724B0" w:rsidRPr="00AC28AF" w:rsidRDefault="005724B0" w:rsidP="00C07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края, разработчиками которых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проектов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 проведения независимой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обсуждения проектов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Камчатского края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(https://npaproject.kamgov.ru) в целях их общественного обсуждения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антикоррупционной экспертизы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778" w:type="dxa"/>
          </w:tcPr>
          <w:p w:rsidR="005724B0" w:rsidRPr="00AC28AF" w:rsidRDefault="005724B0" w:rsidP="0000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«телефонов доверия»,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«горячих линий», других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рмационных каналов, позволяющих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 сообщать о ставших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известными им фактах коррупции,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причинах и условиях, способствующих их совершению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1778" w:type="dxa"/>
          </w:tcPr>
          <w:p w:rsidR="005724B0" w:rsidRPr="00AC28AF" w:rsidRDefault="005724B0" w:rsidP="0000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общественными советами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отчетов о реализации планов противодействия коррупции,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итогов деятельности комиссий по соблюдению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государственных гражданских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интересов, комиссий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Камчатгосплем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AC28AF" w:rsidRPr="00AC28AF" w:rsidTr="005724B0">
        <w:tc>
          <w:tcPr>
            <w:tcW w:w="14884" w:type="dxa"/>
            <w:gridSpan w:val="3"/>
          </w:tcPr>
          <w:p w:rsidR="00AC28AF" w:rsidRPr="00AC28AF" w:rsidRDefault="00AC28AF" w:rsidP="000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мер по противодействию коррупции в сферах закупок товаров, работ, услуг для обеспечения государственных</w:t>
            </w:r>
          </w:p>
          <w:p w:rsidR="00AC28AF" w:rsidRPr="00AC28AF" w:rsidRDefault="00AC28AF" w:rsidP="0000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или муниципальных нужд и закупок товаров, работ, услуг отдельными видами юридических лиц, бизнеса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778" w:type="dxa"/>
          </w:tcPr>
          <w:p w:rsidR="005724B0" w:rsidRPr="00AC28AF" w:rsidRDefault="005724B0" w:rsidP="008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юдением требований Федерального закона от 05.04.2013 № 44ФЗ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«О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рактной системе в сфере закупок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нужд»,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закона от 18.07.2011 № 223ФЗ «О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закупках товаров, работ,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отдельными видами юридических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лиц», в том числе касающихся недо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пущения возникновения конфликта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интересов между участником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заказчиком при осуществлении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778" w:type="dxa"/>
          </w:tcPr>
          <w:p w:rsidR="005724B0" w:rsidRPr="00AC28AF" w:rsidRDefault="005724B0" w:rsidP="0054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Проведение на основании методических рекомендаций, предус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мотренных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ональным планом противодействия коррупции на 2021-2024 годы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Указом Президента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16.08.</w:t>
            </w:r>
            <w:r w:rsidRPr="00543C2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C24">
              <w:rPr>
                <w:rFonts w:ascii="Times New Roman" w:hAnsi="Times New Roman" w:cs="Times New Roman"/>
                <w:sz w:val="24"/>
                <w:szCs w:val="24"/>
              </w:rPr>
              <w:t> 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Министерстве, КГКУ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Камчатгосплем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направленной на выявление личной 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нтересованности лиц, замещающих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Камчатского края,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края,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Камчатгосплем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осуществлении таких закупок, которая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приводит или может привести к конфликту интересов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AC28AF" w:rsidRPr="00AC28AF" w:rsidTr="005724B0">
        <w:tc>
          <w:tcPr>
            <w:tcW w:w="14884" w:type="dxa"/>
            <w:gridSpan w:val="3"/>
          </w:tcPr>
          <w:p w:rsidR="00AC28AF" w:rsidRPr="00AC28AF" w:rsidRDefault="00AC28AF" w:rsidP="00CD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778" w:type="dxa"/>
          </w:tcPr>
          <w:p w:rsidR="005724B0" w:rsidRPr="00AC28AF" w:rsidRDefault="005724B0" w:rsidP="00CD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федерального законодательства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, связанных с повседневными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потребностями граждан, с целью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выявления противоречий, избыточно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регулирования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и сложных для восприятия положений,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оторые способствуют проявлениям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отчетным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1778" w:type="dxa"/>
          </w:tcPr>
          <w:p w:rsidR="005724B0" w:rsidRPr="00AC28AF" w:rsidRDefault="005724B0" w:rsidP="00FC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правопримен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Камчатского края в сфере противодействия коррупции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01 марта года, следующего за отчетным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1778" w:type="dxa"/>
          </w:tcPr>
          <w:p w:rsidR="005724B0" w:rsidRPr="00AC28AF" w:rsidRDefault="005724B0" w:rsidP="00CD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коррупции,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Камчатгосплем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отчетным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1778" w:type="dxa"/>
          </w:tcPr>
          <w:p w:rsidR="005724B0" w:rsidRPr="00AC28AF" w:rsidRDefault="005724B0" w:rsidP="0090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зданию условий для повышения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уровня правосознания граждан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популяризации антикоррупционных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стандартов поведения, основанных на знаниях общих прав и обязанностей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отчетным</w:t>
            </w:r>
          </w:p>
        </w:tc>
      </w:tr>
      <w:tr w:rsidR="005724B0" w:rsidRPr="00AC28AF" w:rsidTr="005724B0">
        <w:tc>
          <w:tcPr>
            <w:tcW w:w="696" w:type="dxa"/>
          </w:tcPr>
          <w:p w:rsidR="005724B0" w:rsidRPr="00AC28AF" w:rsidRDefault="005724B0" w:rsidP="00AC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1778" w:type="dxa"/>
          </w:tcPr>
          <w:p w:rsidR="005724B0" w:rsidRPr="00AC28AF" w:rsidRDefault="005724B0" w:rsidP="00EB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антикоррупционных экспертиз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Губернатора и Правительства 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края, Министерства,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правовых актов Губернатора и </w:t>
            </w:r>
            <w:r w:rsidRPr="00AC28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Камчатского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2410" w:type="dxa"/>
          </w:tcPr>
          <w:p w:rsidR="005724B0" w:rsidRPr="00AC28AF" w:rsidRDefault="005724B0" w:rsidP="005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 (до 25 июня, до 25 декабря)</w:t>
            </w:r>
          </w:p>
        </w:tc>
      </w:tr>
    </w:tbl>
    <w:p w:rsidR="003E609C" w:rsidRPr="00AC28AF" w:rsidRDefault="003E609C" w:rsidP="00AC28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609C" w:rsidRPr="00AC28AF" w:rsidSect="009A5B73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58" w:rsidRDefault="00C27958" w:rsidP="009A5B73">
      <w:pPr>
        <w:spacing w:after="0" w:line="240" w:lineRule="auto"/>
      </w:pPr>
      <w:r>
        <w:separator/>
      </w:r>
    </w:p>
  </w:endnote>
  <w:endnote w:type="continuationSeparator" w:id="0">
    <w:p w:rsidR="00C27958" w:rsidRDefault="00C27958" w:rsidP="009A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58" w:rsidRDefault="00C27958" w:rsidP="009A5B73">
      <w:pPr>
        <w:spacing w:after="0" w:line="240" w:lineRule="auto"/>
      </w:pPr>
      <w:r>
        <w:separator/>
      </w:r>
    </w:p>
  </w:footnote>
  <w:footnote w:type="continuationSeparator" w:id="0">
    <w:p w:rsidR="00C27958" w:rsidRDefault="00C27958" w:rsidP="009A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172812"/>
      <w:docPartObj>
        <w:docPartGallery w:val="Page Numbers (Top of Page)"/>
        <w:docPartUnique/>
      </w:docPartObj>
    </w:sdtPr>
    <w:sdtEndPr/>
    <w:sdtContent>
      <w:p w:rsidR="009A5B73" w:rsidRDefault="009A5B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4B0">
          <w:rPr>
            <w:noProof/>
          </w:rPr>
          <w:t>5</w:t>
        </w:r>
        <w:r>
          <w:fldChar w:fldCharType="end"/>
        </w:r>
      </w:p>
    </w:sdtContent>
  </w:sdt>
  <w:p w:rsidR="009A5B73" w:rsidRDefault="009A5B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2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172AF9"/>
    <w:multiLevelType w:val="hybridMultilevel"/>
    <w:tmpl w:val="8C8A2F02"/>
    <w:lvl w:ilvl="0" w:tplc="233620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51FC8"/>
    <w:multiLevelType w:val="multilevel"/>
    <w:tmpl w:val="D8CA4C0A"/>
    <w:lvl w:ilvl="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8" w:hanging="1800"/>
      </w:pPr>
      <w:rPr>
        <w:rFonts w:hint="default"/>
      </w:rPr>
    </w:lvl>
  </w:abstractNum>
  <w:abstractNum w:abstractNumId="3" w15:restartNumberingAfterBreak="0">
    <w:nsid w:val="5EE3078B"/>
    <w:multiLevelType w:val="hybridMultilevel"/>
    <w:tmpl w:val="FF10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479D1"/>
    <w:multiLevelType w:val="hybridMultilevel"/>
    <w:tmpl w:val="1F2C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37"/>
    <w:rsid w:val="00001131"/>
    <w:rsid w:val="00083C8E"/>
    <w:rsid w:val="000D6BD9"/>
    <w:rsid w:val="000E74F3"/>
    <w:rsid w:val="00126C4A"/>
    <w:rsid w:val="0016477C"/>
    <w:rsid w:val="0018489E"/>
    <w:rsid w:val="001C1603"/>
    <w:rsid w:val="00211F7A"/>
    <w:rsid w:val="00333B5F"/>
    <w:rsid w:val="003C4E8A"/>
    <w:rsid w:val="003E609C"/>
    <w:rsid w:val="004A1D98"/>
    <w:rsid w:val="004B61D8"/>
    <w:rsid w:val="004F2BB3"/>
    <w:rsid w:val="00543C24"/>
    <w:rsid w:val="005724B0"/>
    <w:rsid w:val="005A7046"/>
    <w:rsid w:val="005C5B87"/>
    <w:rsid w:val="005D5C18"/>
    <w:rsid w:val="005F35F0"/>
    <w:rsid w:val="006723B8"/>
    <w:rsid w:val="00681075"/>
    <w:rsid w:val="006F0850"/>
    <w:rsid w:val="008315FF"/>
    <w:rsid w:val="008B69CD"/>
    <w:rsid w:val="008F0910"/>
    <w:rsid w:val="00907BA1"/>
    <w:rsid w:val="00942264"/>
    <w:rsid w:val="009A5B73"/>
    <w:rsid w:val="00A809F9"/>
    <w:rsid w:val="00AC28AF"/>
    <w:rsid w:val="00B1593F"/>
    <w:rsid w:val="00B569CF"/>
    <w:rsid w:val="00C07E08"/>
    <w:rsid w:val="00C123F7"/>
    <w:rsid w:val="00C25EB7"/>
    <w:rsid w:val="00C27958"/>
    <w:rsid w:val="00C71D5B"/>
    <w:rsid w:val="00CD1A1B"/>
    <w:rsid w:val="00CE581F"/>
    <w:rsid w:val="00E94937"/>
    <w:rsid w:val="00EB56F3"/>
    <w:rsid w:val="00F45B9E"/>
    <w:rsid w:val="00FC4007"/>
    <w:rsid w:val="00FD7D5F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2227-03FE-447E-9553-32859E4F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89E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C07E08"/>
  </w:style>
  <w:style w:type="paragraph" w:styleId="a6">
    <w:name w:val="header"/>
    <w:basedOn w:val="a"/>
    <w:link w:val="a7"/>
    <w:uiPriority w:val="99"/>
    <w:unhideWhenUsed/>
    <w:rsid w:val="009A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B73"/>
  </w:style>
  <w:style w:type="paragraph" w:styleId="a8">
    <w:name w:val="footer"/>
    <w:basedOn w:val="a"/>
    <w:link w:val="a9"/>
    <w:uiPriority w:val="99"/>
    <w:unhideWhenUsed/>
    <w:rsid w:val="009A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B73"/>
  </w:style>
  <w:style w:type="paragraph" w:styleId="aa">
    <w:name w:val="Balloon Text"/>
    <w:basedOn w:val="a"/>
    <w:link w:val="ab"/>
    <w:uiPriority w:val="99"/>
    <w:semiHidden/>
    <w:unhideWhenUsed/>
    <w:rsid w:val="00C7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ABF5-5D24-4215-A13A-351F0197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Андреева Екатерина Сергеевна</cp:lastModifiedBy>
  <cp:revision>5</cp:revision>
  <cp:lastPrinted>2021-10-29T01:37:00Z</cp:lastPrinted>
  <dcterms:created xsi:type="dcterms:W3CDTF">2021-10-29T01:55:00Z</dcterms:created>
  <dcterms:modified xsi:type="dcterms:W3CDTF">2022-07-27T03:59:00Z</dcterms:modified>
</cp:coreProperties>
</file>