
<file path=[Content_Types].xml><?xml version="1.0" encoding="utf-8"?>
<Types xmlns="http://schemas.openxmlformats.org/package/2006/content-types">
  <Default ContentType="image/jpeg" Extension="jpe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3000000">
      <w:pPr>
        <w:pStyle w:val="Style_1"/>
        <w:spacing w:after="0" w:before="0" w:line="276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647700" cy="807720"/>
            <wp:effectExtent b="0" l="0" r="0" t="0"/>
            <wp:wrapTight distL="114300" distR="114300" wrapText="bothSides">
              <wp:wrapPolygon>
                <wp:start x="-26" y="0"/>
                <wp:lineTo x="-26" y="20864"/>
                <wp:lineTo x="20942" y="20864"/>
                <wp:lineTo x="20942" y="0"/>
                <wp:lineTo x="-26" y="0"/>
              </wp:wrapPolygon>
            </wp:wrapTight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47700" cy="8077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4000000">
      <w:pPr>
        <w:pStyle w:val="Style_1"/>
        <w:spacing w:after="0" w:before="0" w:line="360" w:lineRule="auto"/>
        <w:ind/>
        <w:jc w:val="center"/>
        <w:rPr>
          <w:rFonts w:ascii="Times New Roman" w:hAnsi="Times New Roman"/>
          <w:sz w:val="32"/>
        </w:rPr>
      </w:pPr>
    </w:p>
    <w:p w14:paraId="05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6000000">
      <w:pPr>
        <w:pStyle w:val="Style_1"/>
        <w:spacing w:after="0" w:before="0" w:line="240" w:lineRule="auto"/>
        <w:ind/>
        <w:rPr>
          <w:rFonts w:ascii="Times New Roman" w:hAnsi="Times New Roman"/>
          <w:b w:val="1"/>
          <w:sz w:val="32"/>
        </w:rPr>
      </w:pPr>
    </w:p>
    <w:p w14:paraId="07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П О С Т А Н О В Л Е Н И Е</w:t>
      </w:r>
    </w:p>
    <w:p w14:paraId="08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9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ПРАВИТЕЛЬСТВА</w:t>
      </w:r>
    </w:p>
    <w:p w14:paraId="0A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КАМЧАТСКОГО КРАЯ</w:t>
      </w:r>
    </w:p>
    <w:p w14:paraId="0B000000">
      <w:pPr>
        <w:pStyle w:val="Style_1"/>
        <w:spacing w:after="0" w:before="0" w:line="276" w:lineRule="auto"/>
        <w:ind w:firstLine="709" w:left="0" w:right="0"/>
        <w:jc w:val="center"/>
        <w:rPr>
          <w:rFonts w:ascii="Times New Roman" w:hAnsi="Times New Roman"/>
          <w:sz w:val="28"/>
        </w:rPr>
      </w:pPr>
    </w:p>
    <w:p w14:paraId="0C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0"/>
        </w:rPr>
      </w:pPr>
    </w:p>
    <w:tbl>
      <w:tblPr>
        <w:tblStyle w:val="Style_2"/>
        <w:tblInd w:type="dxa" w:w="0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253"/>
      </w:tblGrid>
      <w:tr>
        <w:trPr>
          <w:trHeight w:hRule="atLeast" w:val="42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0D000000">
            <w:pPr>
              <w:pStyle w:val="Style_1"/>
              <w:widowControl w:val="0"/>
              <w:spacing w:after="0" w:before="0" w:line="240" w:lineRule="auto"/>
              <w:ind w:hanging="142" w:left="142" w:right="0"/>
              <w:jc w:val="left"/>
              <w:rPr>
                <w:rFonts w:ascii="Times New Roman" w:hAnsi="Times New Roman"/>
                <w:sz w:val="24"/>
              </w:rPr>
            </w:pPr>
            <w:bookmarkStart w:id="1" w:name="REGNUMDATESTAMP"/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pacing w:val="0"/>
                <w:sz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]</w:t>
            </w:r>
            <w:bookmarkEnd w:id="1"/>
          </w:p>
        </w:tc>
      </w:tr>
      <w:tr>
        <w:trPr>
          <w:trHeight w:hRule="atLeast" w:val="24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0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color w:val="000000"/>
                <w:spacing w:val="0"/>
                <w:sz w:val="22"/>
              </w:rPr>
              <w:t>г. Петропавловск-Камчатский</w:t>
            </w:r>
          </w:p>
        </w:tc>
      </w:tr>
      <w:tr>
        <w:trPr>
          <w:trHeight w:hRule="atLeast" w:val="80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0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10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3"/>
        <w:tblInd w:type="dxa" w:w="-142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9755"/>
      </w:tblGrid>
      <w:tr>
        <w:tc>
          <w:tcPr>
            <w:tcW w:type="dxa" w:w="97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00000">
            <w:pPr>
              <w:pStyle w:val="Style_1"/>
              <w:widowControl w:val="0"/>
              <w:spacing w:after="0" w:before="0" w:line="240" w:lineRule="auto"/>
              <w:ind w:hanging="30" w:left="3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pacing w:val="0"/>
                <w:sz w:val="28"/>
              </w:rPr>
              <w:t xml:space="preserve">О памятнике природы регионального значения </w:t>
            </w:r>
          </w:p>
          <w:p w14:paraId="12000000">
            <w:pPr>
              <w:pStyle w:val="Style_1"/>
              <w:widowControl w:val="0"/>
              <w:spacing w:after="0" w:before="0" w:line="240" w:lineRule="auto"/>
              <w:ind w:hanging="30" w:left="3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pacing w:val="0"/>
                <w:sz w:val="28"/>
              </w:rPr>
              <w:t>«Урочище Тумроки»</w:t>
            </w:r>
          </w:p>
        </w:tc>
      </w:tr>
    </w:tbl>
    <w:p w14:paraId="13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4000000">
      <w:pPr>
        <w:pStyle w:val="Style_1"/>
        <w:spacing w:line="216" w:lineRule="auto"/>
        <w:ind w:firstLine="72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со статьей 17 Федерального конституционного закона от 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2, 26, 27 Федерального закона от 14.03.1995 № 33-ФЗ «Об особо охраняемых природных территориях», статьями 6–8 Закона Камчатского края от 29.12.2014 № 564 «Об особо охраняемых природных территориях в Камчатском крае», учитывая решение Исполнительного комитета Камчатского областного Совета народных депутатов от 29.04.1980 № 235 «О сохранении и улучшении особо ценных лесных объектов – памятников природы»,</w:t>
      </w:r>
    </w:p>
    <w:p w14:paraId="15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6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ПРАВИТЕЛЬСТВО ПОСТАНОВЛЯЕТ:</w:t>
      </w:r>
    </w:p>
    <w:p w14:paraId="17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8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Утвердить:</w:t>
      </w:r>
    </w:p>
    <w:p w14:paraId="19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Положение о памятнике природы регионального значения «Урочище Тумроки» согласно приложению 1 к настоящему постановлению;</w:t>
      </w:r>
    </w:p>
    <w:p w14:paraId="1A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графическое описание местоположения границ памятника природы регионального значения «Урочище Тумроки» согласно приложению 2 к настоящему постановлению.</w:t>
      </w:r>
    </w:p>
    <w:p w14:paraId="1B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Настоящее постановление вступает в силу после дня его официального опубликования.</w:t>
      </w:r>
    </w:p>
    <w:p w14:paraId="1C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2"/>
        <w:tblInd w:type="dxa" w:w="-34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3578"/>
        <w:gridCol w:w="3544"/>
        <w:gridCol w:w="2410"/>
      </w:tblGrid>
      <w:tr>
        <w:trPr>
          <w:trHeight w:hRule="atLeast" w:val="2220"/>
        </w:trPr>
        <w:tc>
          <w:tcPr>
            <w:tcW w:type="dxa" w:w="3578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D000000">
            <w:pPr>
              <w:pStyle w:val="Style_1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Председатель Правительства Камчатского края</w:t>
            </w:r>
          </w:p>
          <w:p w14:paraId="1E000000">
            <w:pPr>
              <w:pStyle w:val="Style_1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544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F000000">
            <w:pPr>
              <w:pStyle w:val="Style_1"/>
              <w:widowControl w:val="0"/>
              <w:spacing w:after="0" w:before="0" w:line="240" w:lineRule="auto"/>
              <w:ind w:hanging="3" w:left="3" w:right="0"/>
              <w:jc w:val="left"/>
              <w:rPr>
                <w:rFonts w:ascii="Times New Roman" w:hAnsi="Times New Roman"/>
                <w:color w:val="FFFFFF"/>
                <w:sz w:val="24"/>
              </w:rPr>
            </w:pPr>
            <w:bookmarkStart w:id="2" w:name="SIGNERSTAMP1"/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[горизонтальный штамп подписи 1]</w:t>
            </w:r>
            <w:bookmarkEnd w:id="2"/>
          </w:p>
          <w:p w14:paraId="20000000">
            <w:pPr>
              <w:pStyle w:val="Style_1"/>
              <w:widowControl w:val="0"/>
              <w:spacing w:after="0" w:before="0" w:line="240" w:lineRule="auto"/>
              <w:ind w:hanging="142" w:left="142" w:right="0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410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1000000">
            <w:pPr>
              <w:pStyle w:val="Style_1"/>
              <w:widowControl w:val="0"/>
              <w:spacing w:after="0" w:before="0" w:line="240" w:lineRule="auto"/>
              <w:ind w:firstLine="0" w:left="0" w:right="135"/>
              <w:jc w:val="right"/>
              <w:rPr>
                <w:rFonts w:ascii="Times New Roman" w:hAnsi="Times New Roman"/>
                <w:sz w:val="28"/>
              </w:rPr>
            </w:pPr>
          </w:p>
          <w:p w14:paraId="2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Е.А. Чекин</w:t>
            </w:r>
          </w:p>
        </w:tc>
      </w:tr>
    </w:tbl>
    <w:p w14:paraId="23000000">
      <w:pPr>
        <w:pStyle w:val="Style_1"/>
      </w:pPr>
      <w:r>
        <w:br w:type="page"/>
      </w:r>
    </w:p>
    <w:tbl>
      <w:tblPr>
        <w:tblStyle w:val="Style_3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8"/>
        <w:gridCol w:w="480"/>
        <w:gridCol w:w="481"/>
        <w:gridCol w:w="3662"/>
        <w:gridCol w:w="480"/>
        <w:gridCol w:w="1871"/>
        <w:gridCol w:w="486"/>
        <w:gridCol w:w="1698"/>
      </w:tblGrid>
      <w:tr>
        <w:tc>
          <w:tcPr>
            <w:tcW w:type="dxa" w:w="47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00000">
            <w:pPr>
              <w:pStyle w:val="Style_1"/>
              <w:pageBreakBefore w:val="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1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 xml:space="preserve">Приложение </w:t>
            </w:r>
            <w:bookmarkStart w:id="3" w:name="_GoBack"/>
            <w:bookmarkEnd w:id="3"/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1 к постановлению</w:t>
            </w:r>
          </w:p>
        </w:tc>
      </w:tr>
      <w:tr>
        <w:tc>
          <w:tcPr>
            <w:tcW w:type="dxa" w:w="47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1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1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от</w:t>
            </w:r>
          </w:p>
        </w:tc>
        <w:tc>
          <w:tcPr>
            <w:tcW w:type="dxa" w:w="1871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EGDATESTAMP]</w:t>
            </w:r>
          </w:p>
        </w:tc>
        <w:tc>
          <w:tcPr>
            <w:tcW w:type="dxa" w:w="48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№</w:t>
            </w:r>
          </w:p>
        </w:tc>
        <w:tc>
          <w:tcPr>
            <w:tcW w:type="dxa" w:w="169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EGNUMSTAMP]</w:t>
            </w:r>
          </w:p>
        </w:tc>
      </w:tr>
    </w:tbl>
    <w:p w14:paraId="36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  <w:vertAlign w:val="superscript"/>
        </w:rPr>
      </w:pPr>
    </w:p>
    <w:p w14:paraId="37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Положение</w:t>
      </w:r>
    </w:p>
    <w:p w14:paraId="38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о памятнике природы регионального значения </w:t>
      </w:r>
    </w:p>
    <w:p w14:paraId="39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«Урочище Тумроки» </w:t>
      </w:r>
    </w:p>
    <w:p w14:paraId="3A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</w:p>
    <w:p w14:paraId="3B000000">
      <w:pPr>
        <w:pStyle w:val="Style_1"/>
        <w:tabs>
          <w:tab w:leader="none" w:pos="708" w:val="clear"/>
          <w:tab w:leader="none" w:pos="3686" w:val="left"/>
        </w:tabs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Общие положения</w:t>
      </w:r>
    </w:p>
    <w:p w14:paraId="3C00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3D00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Настоящее положение регулирует вопросы охраны и использования памятника природы регионального значения «Урочище Тумроки» (далее – Памятник природы).</w:t>
      </w:r>
    </w:p>
    <w:p w14:paraId="3E000000">
      <w:pPr>
        <w:pStyle w:val="Style_1"/>
        <w:tabs>
          <w:tab w:leader="none" w:pos="567" w:val="left"/>
          <w:tab w:leader="none" w:pos="708" w:val="clear"/>
          <w:tab w:leader="none" w:pos="1134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Памятник природы является особо охраняемой природной территорией регионального значения в Камчатском крае и относится к объектам общенационального достояния.</w:t>
      </w:r>
    </w:p>
    <w:p w14:paraId="3F000000">
      <w:pPr>
        <w:pStyle w:val="Style_1"/>
        <w:tabs>
          <w:tab w:leader="none" w:pos="567" w:val="left"/>
          <w:tab w:leader="none" w:pos="708" w:val="clear"/>
          <w:tab w:leader="none" w:pos="851" w:val="left"/>
          <w:tab w:leader="none" w:pos="993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Целями создания Памятника природы являются:</w:t>
      </w:r>
    </w:p>
    <w:p w14:paraId="40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сохранение в естественном состоянии ценного в экологическом, научном, рекреационном и эстетическом отношениях природного комплекса – участка высокодекоративного лесного ландшафта, расположенного в месте выхода реки Белая из отрогов хребта Тумрок в долину реки Левая Щапина, представленного коренными растительными сообществами из лиственницы Каяндера, ели аянской, березы плосколистной и каменной, ольхового и кедрового стлаников, рябины бузинолистной, а также природными и природно-антропогенными гидротермальными экосистемами Верхне-Щапинских (Тумрокских) горячих источников с температурой воды 15-52</w:t>
      </w:r>
      <w:r>
        <w:rPr>
          <w:rFonts w:ascii="Times New Roman" w:hAnsi="Times New Roman"/>
          <w:vertAlign w:val="superscript"/>
        </w:rPr>
        <w:t>0</w:t>
      </w:r>
      <w:r>
        <w:rPr>
          <w:rFonts w:ascii="Times New Roman" w:hAnsi="Times New Roman"/>
          <w:sz w:val="28"/>
        </w:rPr>
        <w:t>С,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8"/>
        </w:rPr>
        <w:t xml:space="preserve">расположенных у подножия тектонического уступа в основании левого склона долины реки Левая Щапина, сохранение их средообразующих функций и биологической продуктивности; </w:t>
      </w:r>
    </w:p>
    <w:p w14:paraId="41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охрана редких видов животных, растений и грибов, занесенных в Красную книгу Камчатского края и Красную книгу Российской Федерации, сохранение среды их обитания;</w:t>
      </w:r>
    </w:p>
    <w:p w14:paraId="42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минимизация негативного воздействия на естественные экологические системы Верхне-Щапинских (Тумрокских) горячих источников и коренные растительные сообщества при осуществлении туризма;</w:t>
      </w:r>
    </w:p>
    <w:p w14:paraId="43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проведение научных исследований;</w:t>
      </w:r>
    </w:p>
    <w:p w14:paraId="44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государственный экологический мониторинг (государственный мониторинг окружающей среды);</w:t>
      </w:r>
    </w:p>
    <w:p w14:paraId="45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экологическое просвещение населения.</w:t>
      </w:r>
    </w:p>
    <w:p w14:paraId="46000000">
      <w:pPr>
        <w:pStyle w:val="Style_1"/>
        <w:tabs>
          <w:tab w:leader="none" w:pos="708" w:val="clear"/>
          <w:tab w:leader="none" w:pos="993" w:val="left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Памятник природы создан решением Исполнительного комитета Камчатского областного Совета народных депутатов от 29.04.1980 № 235 «О сохранении и улучшении особо ценных лесных объектов – памятников природы», без ограничения срока его функционирования.</w:t>
      </w:r>
    </w:p>
    <w:p w14:paraId="47000000">
      <w:pPr>
        <w:pStyle w:val="Style_1"/>
        <w:numPr>
          <w:ilvl w:val="0"/>
          <w:numId w:val="1"/>
        </w:numPr>
        <w:tabs>
          <w:tab w:leader="none" w:pos="708" w:val="clear"/>
          <w:tab w:leader="none" w:pos="993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Памятник природы создан на землях лесного фонда, без изъятия земельных участков для государственных нужд, а также у собственников, землепользователей, землевладельцев.</w:t>
      </w:r>
    </w:p>
    <w:p w14:paraId="48000000">
      <w:pPr>
        <w:pStyle w:val="Style_1"/>
        <w:numPr>
          <w:ilvl w:val="0"/>
          <w:numId w:val="1"/>
        </w:numPr>
        <w:tabs>
          <w:tab w:leader="none" w:pos="708" w:val="clear"/>
          <w:tab w:leader="none" w:pos="993" w:val="left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Общая площадь Памятника природы составляет 100,03 га. </w:t>
      </w:r>
    </w:p>
    <w:p w14:paraId="49000000">
      <w:pPr>
        <w:pStyle w:val="Style_1"/>
        <w:tabs>
          <w:tab w:leader="none" w:pos="708" w:val="clear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14:paraId="4A000000">
      <w:pPr>
        <w:pStyle w:val="Style_1"/>
        <w:tabs>
          <w:tab w:leader="none" w:pos="708" w:val="clear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8. Запрещается изменение целевого назначения земельных участков, находящихся в границах Памятника природы, за исключением случаев, предусмотренных федеральными законами.</w:t>
      </w:r>
    </w:p>
    <w:p w14:paraId="4B000000">
      <w:pPr>
        <w:pStyle w:val="Style_1"/>
        <w:tabs>
          <w:tab w:leader="none" w:pos="708" w:val="clear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9. Леса, расположенные на территории Памятника природы, относятся к защитным лесам и используются в соответствии с режимом особой охраны Памятника природы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</w:t>
      </w:r>
      <w:r>
        <w:rPr>
          <w:rFonts w:ascii="Times New Roman" w:hAnsi="Times New Roman"/>
          <w:sz w:val="28"/>
        </w:rPr>
        <w:t>при условии, если это использование совместимо с целевым назначением защитных лесов и выполняемыми ими полезными функциями.</w:t>
      </w:r>
    </w:p>
    <w:p w14:paraId="4C000000">
      <w:pPr>
        <w:pStyle w:val="Style_1"/>
        <w:tabs>
          <w:tab w:leader="none" w:pos="708" w:val="clear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10. Виды разрешенного использования земельных участков, расположенных в границах Памятника природы:</w:t>
      </w:r>
    </w:p>
    <w:p w14:paraId="4D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1) основные виды разрешенного использования земельных участков:</w:t>
      </w:r>
    </w:p>
    <w:p w14:paraId="4E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а) природно-познавательный туризм (код 5.2);</w:t>
      </w:r>
    </w:p>
    <w:p w14:paraId="4F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б) охрана природных территорий (код 9.1);</w:t>
      </w:r>
    </w:p>
    <w:p w14:paraId="50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в) резервные леса (код 10.4);</w:t>
      </w:r>
    </w:p>
    <w:p w14:paraId="51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2) к вспомогательным видам разрешенного использования земельных участков отнесена заготовка лесных ресурсов (код 10.3) (в части заготовки гражданами пищевых лесных ресурсов, недревесных лесных ресурсов и сбора ими лекарственных растений для собственных нужд).</w:t>
      </w:r>
    </w:p>
    <w:p w14:paraId="52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строительство, реконструкция, капитальный ремонт объектов капитального строительства запрещены пунктом 2 части 20 Положения.</w:t>
      </w:r>
    </w:p>
    <w:p w14:paraId="53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14:paraId="54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13. </w:t>
      </w:r>
      <w:r>
        <w:rPr>
          <w:rFonts w:ascii="Times New Roman" w:hAnsi="Times New Roman"/>
          <w:sz w:val="28"/>
        </w:rP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 </w:t>
      </w:r>
    </w:p>
    <w:p w14:paraId="55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14. Охрана Памятника природы и управление  им  осуществляется  краевым государственным казенным учреждением «Служба по охране животного мира и государственных природных заказников Камчатского края» (далее – Учреждение). </w:t>
      </w:r>
    </w:p>
    <w:p w14:paraId="56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15. Посещение территории Памятника природы осуществляется по разрешениям, выдаваемым Учреждением.   </w:t>
      </w:r>
    </w:p>
    <w:p w14:paraId="57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16. 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 w14:paraId="58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17. Собственники, владельцы и пользователи земельных участков, на которых находится Памятник природы, принимают на себя обязательства по обеспечению режима его особой охраны.</w:t>
      </w:r>
    </w:p>
    <w:p w14:paraId="59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5A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Текстовое описание местоположения </w:t>
      </w:r>
    </w:p>
    <w:p w14:paraId="5B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границ Памятника природы</w:t>
      </w:r>
    </w:p>
    <w:p w14:paraId="5C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5D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18. Памятник природы расположен в Мильковском муниципальном районе, в месте выхода реки Белая из отрогов хребта Тумрок (Срединный хребет) в долину реки Левая Щапина, левым притоком которой она является.  </w:t>
      </w:r>
    </w:p>
    <w:p w14:paraId="5E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19. Памятник природы устанавливается в следующих границах:</w:t>
      </w:r>
    </w:p>
    <w:p w14:paraId="5F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северная граница: от характерной точки 20 с географическими координатами 55 градусов 12 минут 13.2 секунды северной широты и 160 градусов 23 минуты 13.5 секунды восточной долготы, расположенной на правом берегу реки Белая – левого притока реки Левая Щапина, проходит прямой линией в восточном направлении на протяжении 836,4 м до характерной точки 21 с географическими координатами 55 градусов 12 минут 13.1 секунды северной широты и 160 градусов 24 минуты 0.9 секунды восточной долготы, расположенной на левом берегу правового безымянного притока реки Белая; далее от характерной точки 21 вверх по течению по левому берегу правого безымянного притока реки Белая в общем восточном направлении на протяжении 364,7 м через характерные точки 22–30 до характерной точки 31 с географическими координатами 55 градусов 12 минут 13.8 секунды северной широты и 160 градусов 24 минуты 16.2 секунды восточной долготы, расположенной также на левом берегу правового безымянного притока реки Белая;</w:t>
      </w:r>
    </w:p>
    <w:p w14:paraId="60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восточная граница: от характерной точки 31 по левому берегу правового безымянного притока реки Белая вверх по течению притока в общем южном направлении на протяжении 951,2 м через характерные точки 32–33, 1–9 до характерной точки 10 с географическими координатами 55 градусов 11 минут 44.4 секунды северной широты и 160 градусов 24 минуты 19.5 секунды восточной долготы, расположенной также на левом берегу правового безымянного притока реки Белая;</w:t>
      </w:r>
    </w:p>
    <w:p w14:paraId="61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южная граница: от характерной точки 10 прямой линией в западном направлении на протяжении 1063,2 м до характерной точки 11 с географическими координатами 55 градусов 11 минут 45.1 секунды северной широты и 160 градусов 23 минуты 19.3 секунды восточной долготы, расположенной правом берегу реки Белая;</w:t>
      </w:r>
    </w:p>
    <w:p w14:paraId="62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западная граница: от характерной точки 10 по правому берегу реки Белая вниз по течению реки в общем северном направлении на протяжении 875,1 м через характерные точки 12–19 до характерной точки 20, где и замыкается. </w:t>
      </w:r>
    </w:p>
    <w:p w14:paraId="63000000">
      <w:pPr>
        <w:pStyle w:val="Style_1"/>
        <w:spacing w:after="0" w:before="0" w:line="240" w:lineRule="auto"/>
        <w:ind w:firstLine="709" w:left="0" w:right="0"/>
        <w:jc w:val="center"/>
      </w:pPr>
    </w:p>
    <w:p w14:paraId="64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Режим особой охраны и использования территории </w:t>
      </w:r>
    </w:p>
    <w:p w14:paraId="65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Памятника природы</w:t>
      </w:r>
    </w:p>
    <w:p w14:paraId="66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</w:p>
    <w:p w14:paraId="67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20. На территории Памятника природы запрещается всякая деятельность, влекущая за собой нарушение его сохранности, в том числе:</w:t>
      </w:r>
    </w:p>
    <w:p w14:paraId="68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  <w:shd w:fill="92FF99" w:val="clear"/>
        </w:rPr>
      </w:pPr>
      <w:r>
        <w:rPr>
          <w:rFonts w:ascii="Times New Roman" w:hAnsi="Times New Roman"/>
          <w:sz w:val="28"/>
          <w:shd w:fill="FFD821" w:val="clear"/>
        </w:rPr>
        <w:t>1</w:t>
      </w:r>
      <w:r>
        <w:rPr>
          <w:rFonts w:ascii="Times New Roman" w:hAnsi="Times New Roman"/>
          <w:sz w:val="28"/>
          <w:shd w:fill="92FF99" w:val="clear"/>
        </w:rPr>
        <w:t>) предоставление земельных участков, использование лесов не по целевому назначению (виду разрешенного использования лесов);</w:t>
      </w:r>
    </w:p>
    <w:p w14:paraId="69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  <w:shd w:fill="FFD821" w:val="clear"/>
        </w:rPr>
      </w:pPr>
      <w:r>
        <w:rPr>
          <w:rFonts w:ascii="Times New Roman" w:hAnsi="Times New Roman"/>
          <w:sz w:val="28"/>
          <w:shd w:fill="FFD821" w:val="clear"/>
        </w:rPr>
        <w:t>2) строительство, реконструкция, ремонт объектов капитального строительства, за исключением реконструкции, ремонта объектов капитального строительства, введенных в эксплуатацию до утверждения Положения;</w:t>
      </w:r>
    </w:p>
    <w:p w14:paraId="6A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края;</w:t>
      </w:r>
    </w:p>
    <w:p w14:paraId="6B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14:paraId="6C000000">
      <w:pPr>
        <w:pStyle w:val="Style_1"/>
        <w:tabs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5) проведение взрывных работ; </w:t>
      </w:r>
    </w:p>
    <w:p w14:paraId="6D000000">
      <w:pPr>
        <w:pStyle w:val="Style_1"/>
        <w:tabs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проведение гидромелиоративных, ирригационных, дноуглубительных и других работ, связанных с изменением дна, берегов и водоохранных зон водных объектов;</w:t>
      </w:r>
    </w:p>
    <w:p w14:paraId="6E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  <w:shd w:fill="FFD821" w:val="clear"/>
        </w:rPr>
      </w:pPr>
      <w:r>
        <w:rPr>
          <w:rFonts w:ascii="Times New Roman" w:hAnsi="Times New Roman"/>
          <w:sz w:val="28"/>
          <w:shd w:fill="FFD821" w:val="clear"/>
        </w:rPr>
        <w:t>7) все виды лесопользования, за исключением случаев, предусмотренных пунктами 4–11 части 21 Положения;</w:t>
      </w:r>
    </w:p>
    <w:p w14:paraId="6F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ведение сельского хозяйства;</w:t>
      </w:r>
    </w:p>
    <w:p w14:paraId="70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движение механических транспортных средств вне дорог общего пользования, за исключением снегоходов в период установления постоянного снежного покрова, выполнения мероприятий по ликвидации и предупреждению чрезвычайных ситуаций;</w:t>
      </w:r>
    </w:p>
    <w:p w14:paraId="71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10) посадка и стоянка вертолетов, стоянка механических транспортных средств вне специально оборудованных мест (площадок), за исключением случаев выполнения мероприятий по ликвидации и предупреждению чрезвычайных ситуаций, осуществления природоохранных мероприятий, а также снегоходов в период установления снежного покрова при соблюдении требований, предусмотренных пунктом 10 части 21 Положения;</w:t>
      </w:r>
    </w:p>
    <w:p w14:paraId="72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11) размещение некапитальных строений и сооружений, а также палаточных лагерей, костровищ, иных мест отдыха вне специально оборудованных мест и без согласования с Учреждением;</w:t>
      </w:r>
    </w:p>
    <w:p w14:paraId="73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12) деятельность, ведущая к нарушению правил пожарной безопасности в лесах, в том числе разведение огня, выжигание растительности, пускание палов;</w:t>
      </w:r>
    </w:p>
    <w:p w14:paraId="74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13) накопление, размещение, захоронение, сжигание отходов производства и потребления;</w:t>
      </w:r>
    </w:p>
    <w:p w14:paraId="75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 w14:paraId="76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15) осуществление туризма вне специально оборудованных для этого местах и маршрутах ; </w:t>
      </w:r>
    </w:p>
    <w:p w14:paraId="77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16) использование токсичных химических препаратов для охраны и защиты лесов;</w:t>
      </w:r>
    </w:p>
    <w:p w14:paraId="78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17) деятельность, ведущая к загрязнению акватории водных объектов и их водоохранных зон, подземных вод отходами производства и потребления, любыми химическими и токсичными веществами, микроорганизмами; </w:t>
      </w:r>
    </w:p>
    <w:p w14:paraId="79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21 Положения;</w:t>
      </w:r>
    </w:p>
    <w:p w14:paraId="7A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19) все виды рыболовства;</w:t>
      </w:r>
    </w:p>
    <w:p w14:paraId="7B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20) интродукция живых организмов, гибридизация объектов животного мира;</w:t>
      </w:r>
    </w:p>
    <w:p w14:paraId="7C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19) мойка в водных объектах транспортных средств; </w:t>
      </w:r>
    </w:p>
    <w:p w14:paraId="7D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21) уничтожение или повреждение аншлагов и других информационных знаков и указателей, нанесение на скалы, деревья, информационные знаки и указатели самовольных надписей.</w:t>
      </w:r>
    </w:p>
    <w:p w14:paraId="7E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21. На территории Памятника природы разрешаются следующие виды деятельности:</w:t>
      </w:r>
    </w:p>
    <w:p w14:paraId="7F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14:paraId="80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осуществление государственного экологического мониторинга (государственного мониторинга окружающей среды);</w:t>
      </w:r>
    </w:p>
    <w:p w14:paraId="81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 выполнение природоохранных и биотехнических мероприятий, в том числе мероприятий по сохранению, восстановлению и поддержанию в равновесном состоянии природных экосистем,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14:paraId="82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выполнение мероприятий, направленных на воспроизводство защитных лесов, повышение продуктивности защитных лесов, сохранение их полезных функций: мероприятия по лесовосстановлению, уходу за лесами (в том числе рубки ухода за лесными насаждениями), иные мероприятия, проводимые в соответствии с правилами лесовосстановления и правилами ухода за лесами, расположенными на особо охраняемых природных территориях;</w:t>
      </w:r>
    </w:p>
    <w:p w14:paraId="83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выполнение 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 w14:paraId="84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деятельность по охране лесов от пожаров;</w:t>
      </w:r>
    </w:p>
    <w:p w14:paraId="85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выполнение мероприятий по рекультивации нарушенных земель и восстановлению почвенного покрова (ликвидация накопленного экологического вреда окружающей среде), в том числе посредством лесовосстановления;</w:t>
      </w:r>
    </w:p>
    <w:p w14:paraId="86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ведение охотничьего хозяйства, включая выполнение мероприятий по сохранению охотничьих ресурсов и среды их обитания в границах закрепленных охотничьих угодий;</w:t>
      </w:r>
    </w:p>
    <w:p w14:paraId="87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b w:val="0"/>
          <w:sz w:val="28"/>
          <w:shd w:fill="FFD821" w:val="clear"/>
        </w:rPr>
      </w:pPr>
      <w:r>
        <w:rPr>
          <w:rFonts w:ascii="Times New Roman" w:hAnsi="Times New Roman"/>
          <w:sz w:val="28"/>
          <w:shd w:fill="FFD821" w:val="clear"/>
        </w:rPr>
        <w:t xml:space="preserve">9) осуществление рекреационной деятельности, туризм, включая размещение </w:t>
      </w:r>
      <w:r>
        <w:rPr>
          <w:rFonts w:ascii="Times New Roman" w:hAnsi="Times New Roman"/>
          <w:b w:val="0"/>
          <w:sz w:val="28"/>
          <w:shd w:fill="FFD821" w:val="clear"/>
        </w:rPr>
        <w:t xml:space="preserve">некапитальных строений, сооружений на специально выделенных местах (участках), не занятых лесными насаждениями, </w:t>
      </w:r>
      <w:r>
        <w:rPr>
          <w:rFonts w:ascii="Times New Roman" w:hAnsi="Times New Roman"/>
          <w:sz w:val="28"/>
          <w:shd w:fill="FFD821" w:val="clear"/>
        </w:rPr>
        <w:t>при соблюдении требований, предусмотренных частью 20 Положения</w:t>
      </w:r>
      <w:r>
        <w:rPr>
          <w:rFonts w:ascii="Times New Roman" w:hAnsi="Times New Roman"/>
          <w:b w:val="0"/>
          <w:sz w:val="28"/>
          <w:shd w:fill="FFD821" w:val="clear"/>
        </w:rPr>
        <w:t>;</w:t>
      </w:r>
    </w:p>
    <w:p w14:paraId="88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10) </w:t>
      </w:r>
      <w:r>
        <w:rPr>
          <w:rFonts w:ascii="Times New Roman" w:hAnsi="Times New Roman"/>
          <w:sz w:val="28"/>
        </w:rPr>
        <w:t xml:space="preserve"> посадка и стоянка вертолетов, стоянка всех видов механических транспортных средств, включая снегоходы, на специально оборудованных</w:t>
      </w:r>
      <w:r>
        <w:rPr>
          <w:rFonts w:ascii="Times New Roman" w:hAnsi="Times New Roman"/>
          <w:b w:val="0"/>
          <w:sz w:val="28"/>
        </w:rPr>
        <w:t xml:space="preserve"> площадках (местах) на расстоянии не менее 150 метров от крайних выходов термоминеральных вод или границы термального поля;</w:t>
      </w:r>
    </w:p>
    <w:p w14:paraId="89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11) заготовка и сбор гражданами для собственных нужд дикорастущих плодов, ягод, орехов, грибов, других пригодных для употребления в пищу лесных ресурсов (пищевых лесных ресурсов), лекарственных растений, а также недревесных лесных ресурсов, за исключением грибов и дикорастущих растений, виды которых занесены в Красную книгу Российской Федерации, Красную книгу Камчатского края;</w:t>
      </w:r>
    </w:p>
    <w:p w14:paraId="8A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12) эколого-просветительская деятельность.</w:t>
      </w:r>
    </w:p>
    <w:p w14:paraId="8B000000">
      <w:pPr>
        <w:pStyle w:val="Style_1"/>
        <w:ind w:firstLine="709" w:left="0" w:right="0"/>
        <w:jc w:val="both"/>
        <w:rPr>
          <w:sz w:val="28"/>
        </w:rPr>
      </w:pPr>
    </w:p>
    <w:p w14:paraId="8C000000">
      <w:pPr>
        <w:pStyle w:val="Style_1"/>
        <w:spacing w:line="240" w:lineRule="auto"/>
        <w:ind w:firstLine="709" w:left="0" w:right="0"/>
        <w:jc w:val="both"/>
        <w:rPr>
          <w:sz w:val="28"/>
        </w:rPr>
      </w:pPr>
    </w:p>
    <w:p w14:paraId="8D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8E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8F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0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1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2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3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4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5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6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7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8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9000000">
      <w:pPr>
        <w:pStyle w:val="Style_1"/>
        <w:widowControl w:val="0"/>
        <w:spacing w:after="0" w:before="0" w:line="240" w:lineRule="auto"/>
        <w:ind w:firstLine="0" w:left="4819" w:right="28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</w:t>
      </w:r>
    </w:p>
    <w:p w14:paraId="9A000000">
      <w:pPr>
        <w:pStyle w:val="Style_1"/>
        <w:widowControl w:val="0"/>
        <w:spacing w:after="0" w:before="0" w:line="240" w:lineRule="auto"/>
        <w:ind w:firstLine="0" w:left="4819" w:right="283"/>
        <w:rPr>
          <w:rFonts w:ascii="Times New Roman" w:hAnsi="Times New Roman"/>
          <w:sz w:val="28"/>
        </w:rPr>
      </w:pPr>
    </w:p>
    <w:p w14:paraId="9B000000">
      <w:pPr>
        <w:pStyle w:val="Style_1"/>
        <w:widowControl w:val="0"/>
        <w:spacing w:after="0" w:before="0" w:line="240" w:lineRule="auto"/>
        <w:ind w:firstLine="0" w:left="4819" w:right="283"/>
        <w:rPr>
          <w:rFonts w:ascii="Times New Roman" w:hAnsi="Times New Roman"/>
          <w:sz w:val="28"/>
        </w:rPr>
      </w:pPr>
    </w:p>
    <w:tbl>
      <w:tblPr>
        <w:tblStyle w:val="Style_3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8"/>
        <w:gridCol w:w="480"/>
        <w:gridCol w:w="481"/>
        <w:gridCol w:w="3662"/>
        <w:gridCol w:w="480"/>
        <w:gridCol w:w="1871"/>
        <w:gridCol w:w="486"/>
        <w:gridCol w:w="1698"/>
      </w:tblGrid>
      <w:tr>
        <w:tc>
          <w:tcPr>
            <w:tcW w:type="dxa" w:w="47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1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Приложение 2 к постановлению</w:t>
            </w:r>
          </w:p>
        </w:tc>
      </w:tr>
      <w:tr>
        <w:tc>
          <w:tcPr>
            <w:tcW w:type="dxa" w:w="47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1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1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от</w:t>
            </w:r>
          </w:p>
        </w:tc>
        <w:tc>
          <w:tcPr>
            <w:tcW w:type="dxa" w:w="1871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EGDATESTAMP]</w:t>
            </w:r>
          </w:p>
        </w:tc>
        <w:tc>
          <w:tcPr>
            <w:tcW w:type="dxa" w:w="48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№</w:t>
            </w:r>
          </w:p>
        </w:tc>
        <w:tc>
          <w:tcPr>
            <w:tcW w:type="dxa" w:w="169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EGNUMSTAMP]</w:t>
            </w:r>
          </w:p>
        </w:tc>
      </w:tr>
    </w:tbl>
    <w:p w14:paraId="AE000000">
      <w:pPr>
        <w:pStyle w:val="Style_1"/>
        <w:widowControl w:val="0"/>
        <w:spacing w:after="0" w:before="0" w:line="240" w:lineRule="auto"/>
        <w:ind w:firstLine="0" w:left="4819" w:right="283"/>
        <w:rPr>
          <w:rFonts w:ascii="Times New Roman" w:hAnsi="Times New Roman"/>
          <w:sz w:val="28"/>
        </w:rPr>
      </w:pPr>
    </w:p>
    <w:p w14:paraId="AF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Графическое описание </w:t>
      </w:r>
    </w:p>
    <w:p w14:paraId="B0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местоположения границ памятника природы регионального значения </w:t>
      </w:r>
    </w:p>
    <w:p w14:paraId="B1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«Урочище Тумроки» (далее – Памятник природы)</w:t>
      </w:r>
    </w:p>
    <w:p w14:paraId="B2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4"/>
        </w:rPr>
      </w:pPr>
    </w:p>
    <w:p w14:paraId="B3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1. Сведения о Памятнике природы </w:t>
      </w:r>
    </w:p>
    <w:p w14:paraId="B4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4"/>
        </w:rPr>
      </w:pPr>
    </w:p>
    <w:tbl>
      <w:tblPr>
        <w:tblStyle w:val="Style_2"/>
        <w:tblInd w:type="dxa" w:w="-147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66"/>
        <w:gridCol w:w="4142"/>
        <w:gridCol w:w="5066"/>
      </w:tblGrid>
      <w:tr>
        <w:trPr>
          <w:trHeight w:hRule="atLeast" w:val="411"/>
        </w:trPr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№ </w:t>
            </w: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п/п</w:t>
            </w:r>
          </w:p>
        </w:tc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Характеристика Памятника природы 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Описание характеристик  </w:t>
            </w:r>
          </w:p>
        </w:tc>
      </w:tr>
      <w:tr>
        <w:trPr>
          <w:trHeight w:hRule="atLeast" w:val="255"/>
        </w:trPr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A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</w:tr>
      <w:tr>
        <w:trPr>
          <w:trHeight w:hRule="atLeast" w:val="543"/>
        </w:trPr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Местоположение Памятника природы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Камчатский край, Мильковский                                           муниципальный район</w:t>
            </w:r>
          </w:p>
        </w:tc>
      </w:tr>
      <w:tr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Площадь объекта +/– величина погрешности определения площади    (Р +/– Дельта Р)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  <w:highlight w:val="yellow"/>
                <w:vertAlign w:val="superscript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1000311 +/- 5185 м</w:t>
            </w:r>
            <w:r>
              <w:rPr>
                <w:rFonts w:ascii="Times New Roman" w:hAnsi="Times New Roman"/>
                <w:color w:val="000000"/>
                <w:spacing w:val="0"/>
                <w:sz w:val="24"/>
                <w:vertAlign w:val="superscript"/>
              </w:rPr>
              <w:t>2</w:t>
            </w:r>
          </w:p>
        </w:tc>
      </w:tr>
      <w:tr>
        <w:trPr>
          <w:trHeight w:hRule="atLeast" w:val="1262"/>
        </w:trPr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00000">
            <w:pPr>
              <w:pStyle w:val="Style_1"/>
              <w:widowControl w:val="0"/>
              <w:spacing w:after="16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Решение Исполнительного комитета Камчатского областного Совета народных депутатов от 29.04.1980 № 235 «О сохранении и улучшении особо ценных лесных объектов – памятников природы»</w:t>
            </w:r>
          </w:p>
        </w:tc>
      </w:tr>
    </w:tbl>
    <w:p w14:paraId="C4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4"/>
        </w:rPr>
      </w:pPr>
    </w:p>
    <w:p w14:paraId="C5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2. Сведения о местоположении границ Памятника природы </w:t>
      </w:r>
    </w:p>
    <w:p w14:paraId="C6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4"/>
        </w:rPr>
      </w:pPr>
    </w:p>
    <w:tbl>
      <w:tblPr>
        <w:tblStyle w:val="Style_2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704"/>
        <w:gridCol w:w="1716"/>
        <w:gridCol w:w="1740"/>
        <w:gridCol w:w="2089"/>
        <w:gridCol w:w="2388"/>
      </w:tblGrid>
      <w:tr>
        <w:trPr>
          <w:trHeight w:hRule="atLeast" w:val="159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7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. Система координат: МСК 41(1), WGS 84</w:t>
            </w:r>
          </w:p>
        </w:tc>
      </w:tr>
      <w:tr>
        <w:trPr>
          <w:trHeight w:hRule="atLeast" w:val="108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8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2. Сведения о характерных точках границ Памятника природы:</w:t>
            </w:r>
          </w:p>
        </w:tc>
      </w:tr>
      <w:tr>
        <w:tc>
          <w:tcPr>
            <w:tcW w:type="dxa" w:w="170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9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Обозначение характерных точек границ</w:t>
            </w:r>
          </w:p>
        </w:tc>
        <w:tc>
          <w:tcPr>
            <w:tcW w:type="dxa" w:w="345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A000000">
            <w:pPr>
              <w:pStyle w:val="Style_1"/>
              <w:widowControl w:val="0"/>
              <w:spacing w:after="160" w:before="0" w:line="264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Координаты МСК-41 (1)</w:t>
            </w:r>
          </w:p>
        </w:tc>
        <w:tc>
          <w:tcPr>
            <w:tcW w:type="dxa" w:w="447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B000000">
            <w:pPr>
              <w:pStyle w:val="Style_1"/>
              <w:widowControl w:val="0"/>
              <w:spacing w:after="160" w:before="0" w:line="264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Координаты WGS-84</w:t>
            </w:r>
          </w:p>
        </w:tc>
      </w:tr>
      <w:tr>
        <w:trPr>
          <w:trHeight w:hRule="atLeast" w:val="287"/>
        </w:trPr>
        <w:tc>
          <w:tcPr>
            <w:tcW w:type="dxa" w:w="170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C000000">
            <w:pPr>
              <w:pStyle w:val="Style_1"/>
              <w:widowControl w:val="0"/>
              <w:spacing w:after="16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Х</w:t>
            </w:r>
          </w:p>
        </w:tc>
        <w:tc>
          <w:tcPr>
            <w:tcW w:type="dxa" w:w="17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D000000">
            <w:pPr>
              <w:pStyle w:val="Style_1"/>
              <w:widowControl w:val="0"/>
              <w:spacing w:after="160" w:before="0" w:line="264" w:lineRule="auto"/>
              <w:ind w:firstLine="0" w:left="0" w:right="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Y</w:t>
            </w:r>
          </w:p>
        </w:tc>
        <w:tc>
          <w:tcPr>
            <w:tcW w:type="dxa" w:w="20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E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Северная </w:t>
            </w:r>
          </w:p>
          <w:p w14:paraId="CF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широта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0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Восточная </w:t>
            </w:r>
          </w:p>
          <w:p w14:paraId="D1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долгота</w:t>
            </w:r>
          </w:p>
        </w:tc>
      </w:tr>
      <w:tr>
        <w:trPr>
          <w:trHeight w:hRule="atLeast" w:val="194"/>
        </w:trPr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2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3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4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20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5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6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7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8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805035.49</w:t>
            </w:r>
          </w:p>
        </w:tc>
        <w:tc>
          <w:tcPr>
            <w:tcW w:type="dxa" w:w="17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9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805035.49</w:t>
            </w:r>
          </w:p>
        </w:tc>
        <w:tc>
          <w:tcPr>
            <w:tcW w:type="dxa" w:w="20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A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55°12'9.8''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B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160°24'18.5''</w:t>
            </w:r>
          </w:p>
        </w:tc>
      </w:tr>
      <w:tr>
        <w:trPr>
          <w:trHeight w:hRule="atLeast" w:val="316"/>
        </w:trPr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C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D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804841.76</w:t>
            </w:r>
          </w:p>
        </w:tc>
        <w:tc>
          <w:tcPr>
            <w:tcW w:type="dxa" w:w="17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E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1523348.83</w:t>
            </w:r>
          </w:p>
        </w:tc>
        <w:tc>
          <w:tcPr>
            <w:tcW w:type="dxa" w:w="20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F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55°12'3.5''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0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160°24'20.4''</w:t>
            </w:r>
          </w:p>
        </w:tc>
      </w:tr>
      <w:tr>
        <w:trPr>
          <w:trHeight w:hRule="atLeast" w:val="316"/>
        </w:trPr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1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1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2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804735.96</w:t>
            </w:r>
          </w:p>
        </w:tc>
        <w:tc>
          <w:tcPr>
            <w:tcW w:type="dxa" w:w="17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3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1523373.68</w:t>
            </w:r>
          </w:p>
        </w:tc>
        <w:tc>
          <w:tcPr>
            <w:tcW w:type="dxa" w:w="20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4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55°12'0.0''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5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160°24'21.6''</w:t>
            </w:r>
          </w:p>
        </w:tc>
      </w:tr>
      <w:tr>
        <w:trPr>
          <w:trHeight w:hRule="atLeast" w:val="316"/>
        </w:trPr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6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1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7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804589.17</w:t>
            </w:r>
          </w:p>
        </w:tc>
        <w:tc>
          <w:tcPr>
            <w:tcW w:type="dxa" w:w="17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8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1523410.76</w:t>
            </w:r>
          </w:p>
        </w:tc>
        <w:tc>
          <w:tcPr>
            <w:tcW w:type="dxa" w:w="20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9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55°11'55.2''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A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160°24'23.5''</w:t>
            </w:r>
          </w:p>
        </w:tc>
      </w:tr>
      <w:tr>
        <w:trPr>
          <w:trHeight w:hRule="atLeast" w:val="316"/>
        </w:trPr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B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  <w:tc>
          <w:tcPr>
            <w:tcW w:type="dxa" w:w="1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C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804468.31</w:t>
            </w:r>
          </w:p>
        </w:tc>
        <w:tc>
          <w:tcPr>
            <w:tcW w:type="dxa" w:w="17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D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1523426.74</w:t>
            </w:r>
          </w:p>
        </w:tc>
        <w:tc>
          <w:tcPr>
            <w:tcW w:type="dxa" w:w="20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E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55°11'51.3''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F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160°24'24.2''</w:t>
            </w:r>
          </w:p>
        </w:tc>
      </w:tr>
      <w:tr>
        <w:trPr>
          <w:trHeight w:hRule="atLeast" w:val="316"/>
        </w:trPr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0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</w:t>
            </w:r>
          </w:p>
        </w:tc>
        <w:tc>
          <w:tcPr>
            <w:tcW w:type="dxa" w:w="1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1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804422.23</w:t>
            </w:r>
          </w:p>
        </w:tc>
        <w:tc>
          <w:tcPr>
            <w:tcW w:type="dxa" w:w="17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2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1523416.04</w:t>
            </w:r>
          </w:p>
        </w:tc>
        <w:tc>
          <w:tcPr>
            <w:tcW w:type="dxa" w:w="20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3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55°11'49.8''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4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160°24'23.5''</w:t>
            </w:r>
          </w:p>
        </w:tc>
      </w:tr>
      <w:tr>
        <w:trPr>
          <w:trHeight w:hRule="atLeast" w:val="316"/>
        </w:trPr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5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</w:t>
            </w:r>
          </w:p>
        </w:tc>
        <w:tc>
          <w:tcPr>
            <w:tcW w:type="dxa" w:w="1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6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804365.07</w:t>
            </w:r>
          </w:p>
        </w:tc>
        <w:tc>
          <w:tcPr>
            <w:tcW w:type="dxa" w:w="17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7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1523395.52</w:t>
            </w:r>
          </w:p>
        </w:tc>
        <w:tc>
          <w:tcPr>
            <w:tcW w:type="dxa" w:w="20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8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55°11'48.0''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9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160°24'22.3''</w:t>
            </w:r>
          </w:p>
        </w:tc>
      </w:tr>
      <w:tr>
        <w:trPr>
          <w:trHeight w:hRule="atLeast" w:val="316"/>
        </w:trPr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A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</w:t>
            </w:r>
          </w:p>
        </w:tc>
        <w:tc>
          <w:tcPr>
            <w:tcW w:type="dxa" w:w="1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B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804312.73</w:t>
            </w:r>
          </w:p>
        </w:tc>
        <w:tc>
          <w:tcPr>
            <w:tcW w:type="dxa" w:w="17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C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1523351.92</w:t>
            </w:r>
          </w:p>
        </w:tc>
        <w:tc>
          <w:tcPr>
            <w:tcW w:type="dxa" w:w="20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D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55°11'46.4''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E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160°24'19.7''</w:t>
            </w:r>
          </w:p>
        </w:tc>
      </w:tr>
      <w:tr>
        <w:trPr>
          <w:trHeight w:hRule="atLeast" w:val="316"/>
        </w:trPr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F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</w:t>
            </w:r>
          </w:p>
        </w:tc>
        <w:tc>
          <w:tcPr>
            <w:tcW w:type="dxa" w:w="1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0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804293.64</w:t>
            </w:r>
          </w:p>
        </w:tc>
        <w:tc>
          <w:tcPr>
            <w:tcW w:type="dxa" w:w="17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1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1523342.07</w:t>
            </w:r>
          </w:p>
        </w:tc>
        <w:tc>
          <w:tcPr>
            <w:tcW w:type="dxa" w:w="20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2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55°11'45.7''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3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160°24'19.1''</w:t>
            </w:r>
          </w:p>
        </w:tc>
      </w:tr>
      <w:tr>
        <w:trPr>
          <w:trHeight w:hRule="atLeast" w:val="316"/>
        </w:trPr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4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</w:t>
            </w:r>
          </w:p>
        </w:tc>
        <w:tc>
          <w:tcPr>
            <w:tcW w:type="dxa" w:w="1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5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804250.76</w:t>
            </w:r>
          </w:p>
        </w:tc>
        <w:tc>
          <w:tcPr>
            <w:tcW w:type="dxa" w:w="17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6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1523350.39</w:t>
            </w:r>
          </w:p>
        </w:tc>
        <w:tc>
          <w:tcPr>
            <w:tcW w:type="dxa" w:w="20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7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55°11'44.4''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8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160°24'19.5''</w:t>
            </w:r>
          </w:p>
        </w:tc>
      </w:tr>
      <w:tr>
        <w:trPr>
          <w:trHeight w:hRule="atLeast" w:val="316"/>
        </w:trPr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9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</w:t>
            </w:r>
          </w:p>
        </w:tc>
        <w:tc>
          <w:tcPr>
            <w:tcW w:type="dxa" w:w="1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A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804243.55</w:t>
            </w:r>
          </w:p>
        </w:tc>
        <w:tc>
          <w:tcPr>
            <w:tcW w:type="dxa" w:w="17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B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1522284.31</w:t>
            </w:r>
          </w:p>
        </w:tc>
        <w:tc>
          <w:tcPr>
            <w:tcW w:type="dxa" w:w="20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C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55°11'45.1''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D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160°23'19.3''</w:t>
            </w:r>
          </w:p>
        </w:tc>
      </w:tr>
      <w:tr>
        <w:trPr>
          <w:trHeight w:hRule="atLeast" w:val="316"/>
        </w:trPr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E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</w:t>
            </w:r>
          </w:p>
        </w:tc>
        <w:tc>
          <w:tcPr>
            <w:tcW w:type="dxa" w:w="1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F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804290.5</w:t>
            </w:r>
          </w:p>
        </w:tc>
        <w:tc>
          <w:tcPr>
            <w:tcW w:type="dxa" w:w="17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0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1522273.98</w:t>
            </w:r>
          </w:p>
        </w:tc>
        <w:tc>
          <w:tcPr>
            <w:tcW w:type="dxa" w:w="20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1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55°11'46.6''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2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160°23'18.8''</w:t>
            </w:r>
          </w:p>
        </w:tc>
      </w:tr>
      <w:tr>
        <w:trPr>
          <w:trHeight w:hRule="atLeast" w:val="316"/>
        </w:trPr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3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</w:t>
            </w:r>
          </w:p>
        </w:tc>
        <w:tc>
          <w:tcPr>
            <w:tcW w:type="dxa" w:w="1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4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804344.46</w:t>
            </w:r>
          </w:p>
        </w:tc>
        <w:tc>
          <w:tcPr>
            <w:tcW w:type="dxa" w:w="17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5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1522267.52</w:t>
            </w:r>
          </w:p>
        </w:tc>
        <w:tc>
          <w:tcPr>
            <w:tcW w:type="dxa" w:w="20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6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55°11'48.4''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7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160°23'18.5''</w:t>
            </w:r>
          </w:p>
        </w:tc>
      </w:tr>
      <w:tr>
        <w:trPr>
          <w:trHeight w:hRule="atLeast" w:val="316"/>
        </w:trPr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8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</w:t>
            </w:r>
          </w:p>
        </w:tc>
        <w:tc>
          <w:tcPr>
            <w:tcW w:type="dxa" w:w="1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9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804394.36</w:t>
            </w:r>
          </w:p>
        </w:tc>
        <w:tc>
          <w:tcPr>
            <w:tcW w:type="dxa" w:w="17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A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1522255.12</w:t>
            </w:r>
          </w:p>
        </w:tc>
        <w:tc>
          <w:tcPr>
            <w:tcW w:type="dxa" w:w="20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B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55°11'49.9''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C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160°23'17.9''</w:t>
            </w:r>
          </w:p>
        </w:tc>
      </w:tr>
      <w:tr>
        <w:trPr>
          <w:trHeight w:hRule="atLeast" w:val="316"/>
        </w:trPr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D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</w:t>
            </w:r>
          </w:p>
        </w:tc>
        <w:tc>
          <w:tcPr>
            <w:tcW w:type="dxa" w:w="1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E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804521.23</w:t>
            </w:r>
          </w:p>
        </w:tc>
        <w:tc>
          <w:tcPr>
            <w:tcW w:type="dxa" w:w="17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F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1522239.14</w:t>
            </w:r>
          </w:p>
        </w:tc>
        <w:tc>
          <w:tcPr>
            <w:tcW w:type="dxa" w:w="20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0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55°11'54.1''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1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160°23'17.2''</w:t>
            </w:r>
          </w:p>
        </w:tc>
      </w:tr>
      <w:tr>
        <w:trPr>
          <w:trHeight w:hRule="atLeast" w:val="316"/>
        </w:trPr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2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</w:t>
            </w:r>
          </w:p>
        </w:tc>
        <w:tc>
          <w:tcPr>
            <w:tcW w:type="dxa" w:w="1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3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804683.06</w:t>
            </w:r>
          </w:p>
        </w:tc>
        <w:tc>
          <w:tcPr>
            <w:tcW w:type="dxa" w:w="17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4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1522213.91</w:t>
            </w:r>
          </w:p>
        </w:tc>
        <w:tc>
          <w:tcPr>
            <w:tcW w:type="dxa" w:w="20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5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55°11'59.4''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6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160°23'16.0''</w:t>
            </w:r>
          </w:p>
        </w:tc>
      </w:tr>
      <w:tr>
        <w:trPr>
          <w:trHeight w:hRule="atLeast" w:val="316"/>
        </w:trPr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7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8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9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20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A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B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C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17</w:t>
            </w:r>
          </w:p>
        </w:tc>
        <w:tc>
          <w:tcPr>
            <w:tcW w:type="dxa" w:w="1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D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804772.92</w:t>
            </w:r>
          </w:p>
        </w:tc>
        <w:tc>
          <w:tcPr>
            <w:tcW w:type="dxa" w:w="17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E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1522196.22</w:t>
            </w:r>
          </w:p>
        </w:tc>
        <w:tc>
          <w:tcPr>
            <w:tcW w:type="dxa" w:w="20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F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55°12'2.3''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0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160°23'15.1''</w:t>
            </w:r>
          </w:p>
        </w:tc>
      </w:tr>
      <w:tr>
        <w:trPr>
          <w:trHeight w:hRule="atLeast" w:val="316"/>
        </w:trPr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1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18</w:t>
            </w:r>
          </w:p>
        </w:tc>
        <w:tc>
          <w:tcPr>
            <w:tcW w:type="dxa" w:w="1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2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804914.81</w:t>
            </w:r>
          </w:p>
        </w:tc>
        <w:tc>
          <w:tcPr>
            <w:tcW w:type="dxa" w:w="17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3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1522175.18</w:t>
            </w:r>
          </w:p>
        </w:tc>
        <w:tc>
          <w:tcPr>
            <w:tcW w:type="dxa" w:w="20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4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55°12'6.9''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5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160°23'14.2''</w:t>
            </w:r>
          </w:p>
        </w:tc>
      </w:tr>
      <w:tr>
        <w:trPr>
          <w:trHeight w:hRule="atLeast" w:val="316"/>
        </w:trPr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6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19</w:t>
            </w:r>
          </w:p>
        </w:tc>
        <w:tc>
          <w:tcPr>
            <w:tcW w:type="dxa" w:w="1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7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805018.74</w:t>
            </w:r>
          </w:p>
        </w:tc>
        <w:tc>
          <w:tcPr>
            <w:tcW w:type="dxa" w:w="17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8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1522167.35</w:t>
            </w:r>
          </w:p>
        </w:tc>
        <w:tc>
          <w:tcPr>
            <w:tcW w:type="dxa" w:w="20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9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55°12'10.2''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A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160°23'13.9''</w:t>
            </w:r>
          </w:p>
        </w:tc>
      </w:tr>
      <w:tr>
        <w:trPr>
          <w:trHeight w:hRule="atLeast" w:val="316"/>
        </w:trPr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B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20</w:t>
            </w:r>
          </w:p>
        </w:tc>
        <w:tc>
          <w:tcPr>
            <w:tcW w:type="dxa" w:w="1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C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805108.73</w:t>
            </w:r>
          </w:p>
        </w:tc>
        <w:tc>
          <w:tcPr>
            <w:tcW w:type="dxa" w:w="17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D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1522158.69</w:t>
            </w:r>
          </w:p>
        </w:tc>
        <w:tc>
          <w:tcPr>
            <w:tcW w:type="dxa" w:w="20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E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55°12'13.2''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F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160°23'13.5''</w:t>
            </w:r>
          </w:p>
        </w:tc>
      </w:tr>
      <w:tr>
        <w:trPr>
          <w:trHeight w:hRule="atLeast" w:val="316"/>
        </w:trPr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0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21</w:t>
            </w:r>
          </w:p>
        </w:tc>
        <w:tc>
          <w:tcPr>
            <w:tcW w:type="dxa" w:w="1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1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805128.18</w:t>
            </w:r>
          </w:p>
        </w:tc>
        <w:tc>
          <w:tcPr>
            <w:tcW w:type="dxa" w:w="17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2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1522996.6</w:t>
            </w:r>
          </w:p>
        </w:tc>
        <w:tc>
          <w:tcPr>
            <w:tcW w:type="dxa" w:w="20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3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55°12'13.1''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4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160°24'0.9''</w:t>
            </w:r>
          </w:p>
        </w:tc>
      </w:tr>
      <w:tr>
        <w:trPr>
          <w:trHeight w:hRule="atLeast" w:val="316"/>
        </w:trPr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5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22</w:t>
            </w:r>
          </w:p>
        </w:tc>
        <w:tc>
          <w:tcPr>
            <w:tcW w:type="dxa" w:w="1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6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805090.18</w:t>
            </w:r>
          </w:p>
        </w:tc>
        <w:tc>
          <w:tcPr>
            <w:tcW w:type="dxa" w:w="17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7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1523007.91</w:t>
            </w:r>
          </w:p>
        </w:tc>
        <w:tc>
          <w:tcPr>
            <w:tcW w:type="dxa" w:w="20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8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55°12'11.8''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9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160°24'1.5''</w:t>
            </w:r>
          </w:p>
        </w:tc>
      </w:tr>
      <w:tr>
        <w:trPr>
          <w:trHeight w:hRule="atLeast" w:val="316"/>
        </w:trPr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A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</w:t>
            </w:r>
          </w:p>
        </w:tc>
        <w:tc>
          <w:tcPr>
            <w:tcW w:type="dxa" w:w="1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B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805058.38</w:t>
            </w:r>
          </w:p>
        </w:tc>
        <w:tc>
          <w:tcPr>
            <w:tcW w:type="dxa" w:w="17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C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1523038.16</w:t>
            </w:r>
          </w:p>
        </w:tc>
        <w:tc>
          <w:tcPr>
            <w:tcW w:type="dxa" w:w="20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D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55°12'10.7''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E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160°24'3.2''</w:t>
            </w:r>
          </w:p>
        </w:tc>
      </w:tr>
      <w:tr>
        <w:trPr>
          <w:trHeight w:hRule="atLeast" w:val="316"/>
        </w:trPr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F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24</w:t>
            </w:r>
          </w:p>
        </w:tc>
        <w:tc>
          <w:tcPr>
            <w:tcW w:type="dxa" w:w="1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0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805052.67</w:t>
            </w:r>
          </w:p>
        </w:tc>
        <w:tc>
          <w:tcPr>
            <w:tcW w:type="dxa" w:w="17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1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1523073.23</w:t>
            </w:r>
          </w:p>
        </w:tc>
        <w:tc>
          <w:tcPr>
            <w:tcW w:type="dxa" w:w="20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2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55°12'10.5''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3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160°24'5.2''</w:t>
            </w:r>
          </w:p>
        </w:tc>
      </w:tr>
      <w:tr>
        <w:trPr>
          <w:trHeight w:hRule="atLeast" w:val="316"/>
        </w:trPr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4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25</w:t>
            </w:r>
          </w:p>
        </w:tc>
        <w:tc>
          <w:tcPr>
            <w:tcW w:type="dxa" w:w="1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5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805063.99</w:t>
            </w:r>
          </w:p>
        </w:tc>
        <w:tc>
          <w:tcPr>
            <w:tcW w:type="dxa" w:w="17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6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1523104.13</w:t>
            </w:r>
          </w:p>
        </w:tc>
        <w:tc>
          <w:tcPr>
            <w:tcW w:type="dxa" w:w="20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7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55°12'10.9''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8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160°24'6.9''</w:t>
            </w:r>
          </w:p>
        </w:tc>
      </w:tr>
      <w:tr>
        <w:trPr>
          <w:trHeight w:hRule="atLeast" w:val="316"/>
        </w:trPr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9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26</w:t>
            </w:r>
          </w:p>
        </w:tc>
        <w:tc>
          <w:tcPr>
            <w:tcW w:type="dxa" w:w="1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A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805080.19</w:t>
            </w:r>
          </w:p>
        </w:tc>
        <w:tc>
          <w:tcPr>
            <w:tcW w:type="dxa" w:w="17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B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1523138.02</w:t>
            </w:r>
          </w:p>
        </w:tc>
        <w:tc>
          <w:tcPr>
            <w:tcW w:type="dxa" w:w="20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C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55°12'11.4''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D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160°24'8.8''</w:t>
            </w:r>
          </w:p>
        </w:tc>
      </w:tr>
      <w:tr>
        <w:trPr>
          <w:trHeight w:hRule="atLeast" w:val="316"/>
        </w:trPr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E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27</w:t>
            </w:r>
          </w:p>
        </w:tc>
        <w:tc>
          <w:tcPr>
            <w:tcW w:type="dxa" w:w="1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F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805104.39</w:t>
            </w:r>
          </w:p>
        </w:tc>
        <w:tc>
          <w:tcPr>
            <w:tcW w:type="dxa" w:w="17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0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1523162.83</w:t>
            </w:r>
          </w:p>
        </w:tc>
        <w:tc>
          <w:tcPr>
            <w:tcW w:type="dxa" w:w="20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1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55°12'12.1''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2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160°24'10.3''</w:t>
            </w:r>
          </w:p>
        </w:tc>
      </w:tr>
      <w:tr>
        <w:trPr>
          <w:trHeight w:hRule="atLeast" w:val="316"/>
        </w:trPr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3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28</w:t>
            </w:r>
          </w:p>
        </w:tc>
        <w:tc>
          <w:tcPr>
            <w:tcW w:type="dxa" w:w="1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4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805145.59</w:t>
            </w:r>
          </w:p>
        </w:tc>
        <w:tc>
          <w:tcPr>
            <w:tcW w:type="dxa" w:w="17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5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1523194.5</w:t>
            </w:r>
          </w:p>
        </w:tc>
        <w:tc>
          <w:tcPr>
            <w:tcW w:type="dxa" w:w="20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6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55°12'13.4''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7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160°24'12.2''</w:t>
            </w:r>
          </w:p>
        </w:tc>
      </w:tr>
      <w:tr>
        <w:trPr>
          <w:trHeight w:hRule="atLeast" w:val="316"/>
        </w:trPr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8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29</w:t>
            </w:r>
          </w:p>
        </w:tc>
        <w:tc>
          <w:tcPr>
            <w:tcW w:type="dxa" w:w="1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9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805161.85</w:t>
            </w:r>
          </w:p>
        </w:tc>
        <w:tc>
          <w:tcPr>
            <w:tcW w:type="dxa" w:w="17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A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1523226.41</w:t>
            </w:r>
          </w:p>
        </w:tc>
        <w:tc>
          <w:tcPr>
            <w:tcW w:type="dxa" w:w="20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B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55°12'13.9''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C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160°24'13.9''</w:t>
            </w:r>
          </w:p>
        </w:tc>
      </w:tr>
      <w:tr>
        <w:trPr>
          <w:trHeight w:hRule="atLeast" w:val="316"/>
        </w:trPr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D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30</w:t>
            </w:r>
          </w:p>
        </w:tc>
        <w:tc>
          <w:tcPr>
            <w:tcW w:type="dxa" w:w="1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E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805165.07</w:t>
            </w:r>
          </w:p>
        </w:tc>
        <w:tc>
          <w:tcPr>
            <w:tcW w:type="dxa" w:w="17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F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1523246.39</w:t>
            </w:r>
          </w:p>
        </w:tc>
        <w:tc>
          <w:tcPr>
            <w:tcW w:type="dxa" w:w="20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0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55°12'14.0''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1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160°24'15.1''</w:t>
            </w:r>
          </w:p>
        </w:tc>
      </w:tr>
      <w:tr>
        <w:trPr>
          <w:trHeight w:hRule="atLeast" w:val="316"/>
        </w:trPr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2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31</w:t>
            </w:r>
          </w:p>
        </w:tc>
        <w:tc>
          <w:tcPr>
            <w:tcW w:type="dxa" w:w="1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3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805160.14</w:t>
            </w:r>
          </w:p>
        </w:tc>
        <w:tc>
          <w:tcPr>
            <w:tcW w:type="dxa" w:w="17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4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1523265.38</w:t>
            </w:r>
          </w:p>
        </w:tc>
        <w:tc>
          <w:tcPr>
            <w:tcW w:type="dxa" w:w="20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5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55°12'13.8''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6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160°24'16.2''</w:t>
            </w:r>
          </w:p>
        </w:tc>
      </w:tr>
      <w:tr>
        <w:trPr>
          <w:trHeight w:hRule="atLeast" w:val="316"/>
        </w:trPr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7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32</w:t>
            </w:r>
          </w:p>
        </w:tc>
        <w:tc>
          <w:tcPr>
            <w:tcW w:type="dxa" w:w="1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8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805135.34</w:t>
            </w:r>
          </w:p>
        </w:tc>
        <w:tc>
          <w:tcPr>
            <w:tcW w:type="dxa" w:w="17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9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1523278.62</w:t>
            </w:r>
          </w:p>
        </w:tc>
        <w:tc>
          <w:tcPr>
            <w:tcW w:type="dxa" w:w="20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A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55°12'13.0''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B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160°24'16.9''</w:t>
            </w:r>
          </w:p>
        </w:tc>
      </w:tr>
      <w:tr>
        <w:trPr>
          <w:trHeight w:hRule="atLeast" w:val="316"/>
        </w:trPr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C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33</w:t>
            </w:r>
          </w:p>
        </w:tc>
        <w:tc>
          <w:tcPr>
            <w:tcW w:type="dxa" w:w="1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D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805078.39</w:t>
            </w:r>
          </w:p>
        </w:tc>
        <w:tc>
          <w:tcPr>
            <w:tcW w:type="dxa" w:w="17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E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1523298.04</w:t>
            </w:r>
          </w:p>
        </w:tc>
        <w:tc>
          <w:tcPr>
            <w:tcW w:type="dxa" w:w="20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F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55°12'11.2''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0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160°24'17.9''</w:t>
            </w:r>
          </w:p>
        </w:tc>
      </w:tr>
      <w:tr>
        <w:trPr>
          <w:trHeight w:hRule="atLeast" w:val="316"/>
        </w:trPr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1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2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805035.49</w:t>
            </w:r>
          </w:p>
        </w:tc>
        <w:tc>
          <w:tcPr>
            <w:tcW w:type="dxa" w:w="17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3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1523309.36</w:t>
            </w:r>
          </w:p>
        </w:tc>
        <w:tc>
          <w:tcPr>
            <w:tcW w:type="dxa" w:w="20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4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55°12'9.8''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5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160°24'18.5''</w:t>
            </w:r>
          </w:p>
        </w:tc>
      </w:tr>
    </w:tbl>
    <w:p w14:paraId="86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4"/>
        </w:rPr>
      </w:pPr>
    </w:p>
    <w:p w14:paraId="87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4"/>
        </w:rPr>
      </w:pPr>
    </w:p>
    <w:p w14:paraId="88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4"/>
        </w:rPr>
      </w:pPr>
    </w:p>
    <w:p w14:paraId="89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4"/>
        </w:rPr>
      </w:pPr>
    </w:p>
    <w:p w14:paraId="8A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4"/>
        </w:rPr>
      </w:pPr>
    </w:p>
    <w:p w14:paraId="8B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4"/>
        </w:rPr>
      </w:pPr>
    </w:p>
    <w:p w14:paraId="8C010000">
      <w:pPr>
        <w:pStyle w:val="Style_1"/>
        <w:rPr>
          <w:rFonts w:ascii="Times New Roman" w:hAnsi="Times New Roman"/>
          <w:sz w:val="24"/>
        </w:rPr>
      </w:pPr>
    </w:p>
    <w:p w14:paraId="8D010000">
      <w:pPr>
        <w:pStyle w:val="Style_1"/>
        <w:rPr>
          <w:rFonts w:ascii="Times New Roman" w:hAnsi="Times New Roman"/>
          <w:sz w:val="24"/>
        </w:rPr>
      </w:pPr>
    </w:p>
    <w:p w14:paraId="8E010000">
      <w:pPr>
        <w:pStyle w:val="Style_1"/>
        <w:rPr>
          <w:rFonts w:ascii="Times New Roman" w:hAnsi="Times New Roman"/>
          <w:sz w:val="24"/>
        </w:rPr>
      </w:pPr>
    </w:p>
    <w:p w14:paraId="8F010000">
      <w:pPr>
        <w:pStyle w:val="Style_1"/>
        <w:rPr>
          <w:rFonts w:ascii="Times New Roman" w:hAnsi="Times New Roman"/>
          <w:sz w:val="24"/>
        </w:rPr>
      </w:pPr>
    </w:p>
    <w:p w14:paraId="90010000">
      <w:pPr>
        <w:pStyle w:val="Style_1"/>
        <w:rPr>
          <w:rFonts w:ascii="Times New Roman" w:hAnsi="Times New Roman"/>
          <w:sz w:val="24"/>
        </w:rPr>
      </w:pPr>
    </w:p>
    <w:p w14:paraId="91010000">
      <w:pPr>
        <w:pStyle w:val="Style_1"/>
        <w:rPr>
          <w:rFonts w:ascii="Times New Roman" w:hAnsi="Times New Roman"/>
          <w:sz w:val="24"/>
        </w:rPr>
      </w:pPr>
    </w:p>
    <w:p w14:paraId="92010000">
      <w:pPr>
        <w:pStyle w:val="Style_1"/>
        <w:rPr>
          <w:rFonts w:ascii="Times New Roman" w:hAnsi="Times New Roman"/>
          <w:sz w:val="24"/>
        </w:rPr>
      </w:pPr>
    </w:p>
    <w:p w14:paraId="93010000">
      <w:pPr>
        <w:pStyle w:val="Style_1"/>
        <w:rPr>
          <w:rFonts w:ascii="Times New Roman" w:hAnsi="Times New Roman"/>
          <w:sz w:val="24"/>
        </w:rPr>
      </w:pPr>
    </w:p>
    <w:p w14:paraId="94010000">
      <w:pPr>
        <w:pStyle w:val="Style_1"/>
        <w:rPr>
          <w:rFonts w:ascii="Times New Roman" w:hAnsi="Times New Roman"/>
          <w:sz w:val="24"/>
        </w:rPr>
      </w:pPr>
    </w:p>
    <w:p w14:paraId="95010000">
      <w:pPr>
        <w:pStyle w:val="Style_1"/>
        <w:rPr>
          <w:rFonts w:ascii="Times New Roman" w:hAnsi="Times New Roman"/>
          <w:sz w:val="24"/>
        </w:rPr>
      </w:pPr>
    </w:p>
    <w:p w14:paraId="96010000">
      <w:pPr>
        <w:pStyle w:val="Style_1"/>
        <w:rPr>
          <w:rFonts w:ascii="Times New Roman" w:hAnsi="Times New Roman"/>
          <w:sz w:val="24"/>
        </w:rPr>
      </w:pPr>
    </w:p>
    <w:p w14:paraId="97010000">
      <w:pPr>
        <w:pStyle w:val="Style_1"/>
        <w:rPr>
          <w:rFonts w:ascii="Times New Roman" w:hAnsi="Times New Roman"/>
          <w:sz w:val="24"/>
        </w:rPr>
      </w:pPr>
    </w:p>
    <w:p w14:paraId="98010000">
      <w:pPr>
        <w:pStyle w:val="Style_1"/>
        <w:rPr>
          <w:rFonts w:ascii="Times New Roman" w:hAnsi="Times New Roman"/>
          <w:sz w:val="24"/>
        </w:rPr>
      </w:pPr>
    </w:p>
    <w:p w14:paraId="99010000">
      <w:pPr>
        <w:pStyle w:val="Style_1"/>
        <w:rPr>
          <w:rFonts w:ascii="Times New Roman" w:hAnsi="Times New Roman"/>
          <w:sz w:val="24"/>
        </w:rPr>
      </w:pPr>
    </w:p>
    <w:p w14:paraId="9A010000">
      <w:pPr>
        <w:pStyle w:val="Style_1"/>
        <w:rPr>
          <w:rFonts w:ascii="Times New Roman" w:hAnsi="Times New Roman"/>
          <w:sz w:val="24"/>
        </w:rPr>
      </w:pPr>
    </w:p>
    <w:p w14:paraId="9B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3. Карта-схема границ П</w:t>
      </w:r>
      <w:r>
        <w:rPr>
          <w:rFonts w:ascii="Times New Roman" w:hAnsi="Times New Roman"/>
          <w:color w:val="000000"/>
          <w:sz w:val="28"/>
        </w:rPr>
        <w:t xml:space="preserve">амятника природы </w:t>
      </w:r>
    </w:p>
    <w:p w14:paraId="9C01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D010000">
      <w:pPr>
        <w:pStyle w:val="Style_1"/>
        <w:spacing w:after="0" w:before="0"/>
        <w:ind/>
        <w:jc w:val="center"/>
        <w:rPr>
          <w:rFonts w:ascii="Times New Roman" w:hAnsi="Times New Roman"/>
          <w:sz w:val="24"/>
        </w:rPr>
      </w:pPr>
      <w:r>
        <w:drawing>
          <wp:inline>
            <wp:extent cx="5805170" cy="7493635"/>
            <wp:effectExtent b="0" l="0" r="0" t="0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3"/>
                    <a:srcRect b="12100" l="1689" r="2439" t="1100"/>
                    <a:stretch/>
                  </pic:blipFill>
                  <pic:spPr>
                    <a:xfrm flipH="false" flipV="false" rot="0">
                      <a:ext cx="5805170" cy="749363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E010000">
      <w:pPr>
        <w:pStyle w:val="Style_1"/>
        <w:ind/>
        <w:jc w:val="center"/>
        <w:rPr>
          <w:color w:val="000000"/>
        </w:rPr>
      </w:pPr>
      <w:r>
        <w:rPr>
          <w:color w:val="000000"/>
        </w:rP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27940</wp:posOffset>
            </wp:positionV>
            <wp:extent cx="5915025" cy="850900"/>
            <wp:effectExtent b="0" l="0" r="0" t="0"/>
            <wp:wrapNone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4"/>
                    <a:srcRect b="10094" l="2644" r="3796" t="80045"/>
                    <a:stretch/>
                  </pic:blipFill>
                  <pic:spPr>
                    <a:xfrm flipH="false" flipV="false" rot="0">
                      <a:ext cx="5915025" cy="8509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9F010000">
      <w:pPr>
        <w:pStyle w:val="Style_1"/>
        <w:ind/>
        <w:jc w:val="center"/>
        <w:rPr>
          <w:color w:val="000000"/>
        </w:rPr>
      </w:pPr>
    </w:p>
    <w:p w14:paraId="A0010000">
      <w:pPr>
        <w:pStyle w:val="Style_1"/>
        <w:ind/>
        <w:jc w:val="center"/>
        <w:rPr>
          <w:color w:val="000000"/>
        </w:rPr>
      </w:pPr>
    </w:p>
    <w:p w14:paraId="A1010000">
      <w:pPr>
        <w:pStyle w:val="Style_1"/>
        <w:rPr>
          <w:rFonts w:ascii="Times New Roman" w:hAnsi="Times New Roman"/>
          <w:sz w:val="24"/>
        </w:rPr>
      </w:pPr>
    </w:p>
    <w:p w14:paraId="A2010000">
      <w:pPr>
        <w:pStyle w:val="Style_1"/>
        <w:rPr>
          <w:rFonts w:ascii="Times New Roman" w:hAnsi="Times New Roman"/>
          <w:sz w:val="24"/>
        </w:rPr>
      </w:pPr>
    </w:p>
    <w:p w14:paraId="A3010000">
      <w:pPr>
        <w:pStyle w:val="Style_1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4. Ситуационный план (местоположение) Памятника природы</w:t>
      </w:r>
    </w:p>
    <w:p w14:paraId="A4010000">
      <w:pPr>
        <w:pStyle w:val="Style_1"/>
        <w:rPr>
          <w:rFonts w:ascii="Times New Roman" w:hAnsi="Times New Roman"/>
          <w:sz w:val="28"/>
        </w:rPr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column">
              <wp:posOffset>0</wp:posOffset>
            </wp:positionH>
            <wp:positionV relativeFrom="paragraph">
              <wp:posOffset>122554</wp:posOffset>
            </wp:positionV>
            <wp:extent cx="5814060" cy="8371205"/>
            <wp:effectExtent b="0" l="0" r="0" t="0"/>
            <wp:wrapNone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5814060" cy="837120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A5010000">
      <w:pPr>
        <w:pStyle w:val="Style_1"/>
        <w:rPr>
          <w:rFonts w:ascii="Times New Roman" w:hAnsi="Times New Roman"/>
          <w:sz w:val="28"/>
        </w:rPr>
      </w:pPr>
    </w:p>
    <w:p w14:paraId="A6010000">
      <w:pPr>
        <w:pStyle w:val="Style_1"/>
        <w:rPr>
          <w:rFonts w:ascii="Times New Roman" w:hAnsi="Times New Roman"/>
          <w:sz w:val="28"/>
        </w:rPr>
      </w:pPr>
    </w:p>
    <w:p w14:paraId="A7010000">
      <w:pPr>
        <w:pStyle w:val="Style_1"/>
        <w:rPr>
          <w:rFonts w:ascii="Times New Roman" w:hAnsi="Times New Roman"/>
          <w:sz w:val="28"/>
        </w:rPr>
      </w:pPr>
    </w:p>
    <w:p w14:paraId="A8010000">
      <w:pPr>
        <w:pStyle w:val="Style_1"/>
        <w:spacing w:after="160" w:before="0"/>
        <w:ind/>
        <w:rPr>
          <w:rFonts w:ascii="Times New Roman" w:hAnsi="Times New Roman"/>
          <w:sz w:val="28"/>
        </w:rPr>
      </w:pPr>
    </w:p>
    <w:sectPr>
      <w:headerReference r:id="rId1" w:type="default"/>
      <w:type w:val="nextPage"/>
      <w:pgSz w:h="16838" w:orient="portrait" w:w="11906"/>
      <w:pgMar w:bottom="822" w:footer="0" w:gutter="0" w:header="709" w:left="1418" w:right="851" w:top="1134"/>
      <w:pgNumType w:fmt="decimal"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widowControl w:val="1"/>
      <w:spacing w:after="160" w:before="0" w:line="264" w:lineRule="auto"/>
      <w:ind w:firstLine="0" w:left="0" w:right="0"/>
      <w:jc w:val="left"/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42240" cy="169545"/>
              <wp:wrapSquare distB="0" distL="0" distR="0" distT="0" wrapText="bothSides"/>
              <wp:docPr hidden="false" id="1" name="Picture 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42240" cy="16954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14:paraId="02000000">
                          <w:pPr>
                            <w:pStyle w:val="Style_1"/>
                            <w:spacing w:after="160" w:before="0"/>
                            <w:ind/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tabs>
          <w:tab w:leader="none" w:pos="0" w:val="left"/>
        </w:tabs>
        <w:ind w:hanging="360" w:left="720"/>
      </w:pPr>
    </w:lvl>
    <w:lvl w:ilvl="1">
      <w:start w:val="1"/>
      <w:numFmt w:val="lowerLetter"/>
      <w:lvlText w:val="%2."/>
      <w:lvlJc w:val="left"/>
      <w:pPr>
        <w:tabs>
          <w:tab w:leader="none" w:pos="0" w:val="left"/>
        </w:tabs>
        <w:ind w:hanging="360" w:left="1440"/>
      </w:pPr>
    </w:lvl>
    <w:lvl w:ilvl="2">
      <w:start w:val="1"/>
      <w:numFmt w:val="lowerRoman"/>
      <w:lvlText w:val="%3."/>
      <w:lvlJc w:val="right"/>
      <w:pPr>
        <w:tabs>
          <w:tab w:leader="none" w:pos="0" w:val="left"/>
        </w:tabs>
        <w:ind w:hanging="360" w:left="2160"/>
      </w:pPr>
    </w:lvl>
    <w:lvl w:ilvl="3">
      <w:start w:val="1"/>
      <w:numFmt w:val="decimal"/>
      <w:lvlText w:val="%4."/>
      <w:lvlJc w:val="left"/>
      <w:pPr>
        <w:tabs>
          <w:tab w:leader="none" w:pos="0" w:val="left"/>
        </w:tabs>
        <w:ind w:hanging="360" w:left="2880"/>
      </w:pPr>
    </w:lvl>
    <w:lvl w:ilvl="4">
      <w:start w:val="1"/>
      <w:numFmt w:val="lowerLetter"/>
      <w:lvlText w:val="%5."/>
      <w:lvlJc w:val="left"/>
      <w:pPr>
        <w:tabs>
          <w:tab w:leader="none" w:pos="0" w:val="left"/>
        </w:tabs>
        <w:ind w:hanging="360" w:left="3600"/>
      </w:pPr>
    </w:lvl>
    <w:lvl w:ilvl="5">
      <w:start w:val="1"/>
      <w:numFmt w:val="lowerRoman"/>
      <w:lvlText w:val="%6."/>
      <w:lvlJc w:val="right"/>
      <w:pPr>
        <w:tabs>
          <w:tab w:leader="none" w:pos="0" w:val="left"/>
        </w:tabs>
        <w:ind w:hanging="360" w:left="4320"/>
      </w:pPr>
    </w:lvl>
    <w:lvl w:ilvl="6">
      <w:start w:val="1"/>
      <w:numFmt w:val="decimal"/>
      <w:lvlText w:val="%7."/>
      <w:lvlJc w:val="left"/>
      <w:pPr>
        <w:tabs>
          <w:tab w:leader="none" w:pos="0" w:val="left"/>
        </w:tabs>
        <w:ind w:hanging="360" w:left="5040"/>
      </w:pPr>
    </w:lvl>
    <w:lvl w:ilvl="7">
      <w:start w:val="1"/>
      <w:numFmt w:val="lowerLetter"/>
      <w:lvlText w:val="%8."/>
      <w:lvlJc w:val="left"/>
      <w:pPr>
        <w:tabs>
          <w:tab w:leader="none" w:pos="0" w:val="left"/>
        </w:tabs>
        <w:ind w:hanging="360" w:left="5760"/>
      </w:pPr>
    </w:lvl>
    <w:lvl w:ilvl="8">
      <w:start w:val="1"/>
      <w:numFmt w:val="lowerRoman"/>
      <w:lvlText w:val="%9."/>
      <w:lvlJc w:val="right"/>
      <w:pPr>
        <w:tabs>
          <w:tab w:leader="none" w:pos="0" w:val="left"/>
        </w:tabs>
        <w:ind w:hanging="360" w:left="6480"/>
      </w:p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default="1" w:styleId="Style_1_ch" w:type="character">
    <w:name w:val="Normal"/>
    <w:link w:val="Style_1"/>
    <w:rPr>
      <w:rFonts w:asciiTheme="minorAscii" w:hAnsiTheme="minorHAnsi"/>
      <w:color w:val="000000"/>
      <w:spacing w:val="0"/>
      <w:sz w:val="22"/>
    </w:rPr>
  </w:style>
  <w:style w:styleId="Style_4" w:type="paragraph">
    <w:name w:val="toc 2"/>
    <w:next w:val="Style_1"/>
    <w:link w:val="Style_4_ch"/>
    <w:uiPriority w:val="39"/>
    <w:pPr>
      <w:widowControl w:val="1"/>
      <w:spacing w:after="160" w:before="0" w:line="264" w:lineRule="auto"/>
      <w:ind w:firstLine="0" w:left="200" w:right="0"/>
      <w:jc w:val="left"/>
    </w:pPr>
    <w:rPr>
      <w:rFonts w:ascii="XO Thames" w:hAnsi="XO Thames"/>
      <w:color w:val="000000"/>
      <w:spacing w:val="0"/>
      <w:sz w:val="28"/>
    </w:rPr>
  </w:style>
  <w:style w:styleId="Style_4_ch" w:type="character">
    <w:name w:val="toc 2"/>
    <w:link w:val="Style_4"/>
    <w:rPr>
      <w:rFonts w:ascii="XO Thames" w:hAnsi="XO Thames"/>
      <w:color w:val="000000"/>
      <w:spacing w:val="0"/>
      <w:sz w:val="28"/>
    </w:rPr>
  </w:style>
  <w:style w:styleId="Style_5" w:type="paragraph">
    <w:name w:val="Contents 5"/>
    <w:link w:val="Style_5_ch"/>
    <w:rPr>
      <w:rFonts w:ascii="XO Thames" w:hAnsi="XO Thames"/>
      <w:sz w:val="28"/>
    </w:rPr>
  </w:style>
  <w:style w:styleId="Style_5_ch" w:type="character">
    <w:name w:val="Contents 5"/>
    <w:link w:val="Style_5"/>
    <w:rPr>
      <w:rFonts w:ascii="XO Thames" w:hAnsi="XO Thames"/>
      <w:sz w:val="28"/>
    </w:rPr>
  </w:style>
  <w:style w:styleId="Style_6" w:type="paragraph">
    <w:name w:val="Body Text"/>
    <w:basedOn w:val="Style_1"/>
    <w:link w:val="Style_6_ch"/>
    <w:pPr>
      <w:spacing w:after="140" w:before="0" w:line="276" w:lineRule="auto"/>
      <w:ind/>
    </w:pPr>
  </w:style>
  <w:style w:styleId="Style_6_ch" w:type="character">
    <w:name w:val="Body Text"/>
    <w:basedOn w:val="Style_1_ch"/>
    <w:link w:val="Style_6"/>
  </w:style>
  <w:style w:styleId="Style_7" w:type="paragraph">
    <w:name w:val="toc 4"/>
    <w:next w:val="Style_1"/>
    <w:link w:val="Style_7_ch"/>
    <w:uiPriority w:val="39"/>
    <w:pPr>
      <w:widowControl w:val="1"/>
      <w:spacing w:after="160" w:before="0" w:line="264" w:lineRule="auto"/>
      <w:ind w:firstLine="0" w:left="600" w:right="0"/>
      <w:jc w:val="left"/>
    </w:pPr>
    <w:rPr>
      <w:rFonts w:ascii="XO Thames" w:hAnsi="XO Thames"/>
      <w:color w:val="000000"/>
      <w:spacing w:val="0"/>
      <w:sz w:val="28"/>
    </w:rPr>
  </w:style>
  <w:style w:styleId="Style_7_ch" w:type="character">
    <w:name w:val="toc 4"/>
    <w:link w:val="Style_7"/>
    <w:rPr>
      <w:rFonts w:ascii="XO Thames" w:hAnsi="XO Thames"/>
      <w:color w:val="000000"/>
      <w:spacing w:val="0"/>
      <w:sz w:val="28"/>
    </w:rPr>
  </w:style>
  <w:style w:styleId="Style_8" w:type="paragraph">
    <w:name w:val="Heading 4"/>
    <w:link w:val="Style_8_ch"/>
    <w:rPr>
      <w:rFonts w:ascii="XO Thames" w:hAnsi="XO Thames"/>
      <w:b w:val="1"/>
      <w:sz w:val="24"/>
    </w:rPr>
  </w:style>
  <w:style w:styleId="Style_8_ch" w:type="character">
    <w:name w:val="Heading 4"/>
    <w:link w:val="Style_8"/>
    <w:rPr>
      <w:rFonts w:ascii="XO Thames" w:hAnsi="XO Thames"/>
      <w:b w:val="1"/>
      <w:sz w:val="24"/>
    </w:rPr>
  </w:style>
  <w:style w:styleId="Style_9" w:type="paragraph">
    <w:name w:val="Default Paragraph Font"/>
    <w:link w:val="Style_9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9_ch" w:type="character">
    <w:name w:val="Default Paragraph Font"/>
    <w:link w:val="Style_9"/>
    <w:rPr>
      <w:rFonts w:asciiTheme="minorAscii" w:hAnsiTheme="minorHAnsi"/>
      <w:color w:val="000000"/>
      <w:spacing w:val="0"/>
      <w:sz w:val="22"/>
    </w:rPr>
  </w:style>
  <w:style w:styleId="Style_10" w:type="paragraph">
    <w:name w:val="toc 6"/>
    <w:next w:val="Style_1"/>
    <w:link w:val="Style_10_ch"/>
    <w:uiPriority w:val="39"/>
    <w:pPr>
      <w:widowControl w:val="1"/>
      <w:spacing w:after="160" w:before="0" w:line="264" w:lineRule="auto"/>
      <w:ind w:firstLine="0" w:left="1000" w:right="0"/>
      <w:jc w:val="left"/>
    </w:pPr>
    <w:rPr>
      <w:rFonts w:ascii="XO Thames" w:hAnsi="XO Thames"/>
      <w:color w:val="000000"/>
      <w:spacing w:val="0"/>
      <w:sz w:val="28"/>
    </w:rPr>
  </w:style>
  <w:style w:styleId="Style_10_ch" w:type="character">
    <w:name w:val="toc 6"/>
    <w:link w:val="Style_10"/>
    <w:rPr>
      <w:rFonts w:ascii="XO Thames" w:hAnsi="XO Thames"/>
      <w:color w:val="000000"/>
      <w:spacing w:val="0"/>
      <w:sz w:val="28"/>
    </w:rPr>
  </w:style>
  <w:style w:styleId="Style_11" w:type="paragraph">
    <w:name w:val="toc 7"/>
    <w:next w:val="Style_1"/>
    <w:link w:val="Style_11_ch"/>
    <w:uiPriority w:val="39"/>
    <w:pPr>
      <w:widowControl w:val="1"/>
      <w:spacing w:after="160" w:before="0" w:line="264" w:lineRule="auto"/>
      <w:ind w:firstLine="0" w:left="1200" w:right="0"/>
      <w:jc w:val="left"/>
    </w:pPr>
    <w:rPr>
      <w:rFonts w:ascii="XO Thames" w:hAnsi="XO Thames"/>
      <w:color w:val="000000"/>
      <w:spacing w:val="0"/>
      <w:sz w:val="28"/>
    </w:rPr>
  </w:style>
  <w:style w:styleId="Style_11_ch" w:type="character">
    <w:name w:val="toc 7"/>
    <w:link w:val="Style_11"/>
    <w:rPr>
      <w:rFonts w:ascii="XO Thames" w:hAnsi="XO Thames"/>
      <w:color w:val="000000"/>
      <w:spacing w:val="0"/>
      <w:sz w:val="28"/>
    </w:rPr>
  </w:style>
  <w:style w:styleId="Style_12" w:type="paragraph">
    <w:name w:val="List"/>
    <w:basedOn w:val="Style_6"/>
    <w:link w:val="Style_12_ch"/>
  </w:style>
  <w:style w:styleId="Style_12_ch" w:type="character">
    <w:name w:val="List"/>
    <w:basedOn w:val="Style_6_ch"/>
    <w:link w:val="Style_12"/>
  </w:style>
  <w:style w:styleId="Style_13" w:type="paragraph">
    <w:name w:val="Contents 7"/>
    <w:link w:val="Style_13_ch"/>
    <w:rPr>
      <w:rFonts w:ascii="XO Thames" w:hAnsi="XO Thames"/>
      <w:sz w:val="28"/>
    </w:rPr>
  </w:style>
  <w:style w:styleId="Style_13_ch" w:type="character">
    <w:name w:val="Contents 7"/>
    <w:link w:val="Style_13"/>
    <w:rPr>
      <w:rFonts w:ascii="XO Thames" w:hAnsi="XO Thames"/>
      <w:sz w:val="28"/>
    </w:rPr>
  </w:style>
  <w:style w:styleId="Style_14" w:type="paragraph">
    <w:name w:val="heading 3"/>
    <w:next w:val="Style_1"/>
    <w:link w:val="Style_14_ch"/>
    <w:uiPriority w:val="9"/>
    <w:qFormat/>
    <w:pPr>
      <w:widowControl w:val="1"/>
      <w:spacing w:after="120" w:before="120" w:line="264" w:lineRule="auto"/>
      <w:ind w:firstLine="0" w:left="0" w:right="0"/>
      <w:jc w:val="both"/>
      <w:outlineLvl w:val="2"/>
    </w:pPr>
    <w:rPr>
      <w:rFonts w:ascii="XO Thames" w:hAnsi="XO Thames"/>
      <w:b w:val="1"/>
      <w:color w:val="000000"/>
      <w:spacing w:val="0"/>
      <w:sz w:val="26"/>
    </w:rPr>
  </w:style>
  <w:style w:styleId="Style_14_ch" w:type="character">
    <w:name w:val="heading 3"/>
    <w:link w:val="Style_14"/>
    <w:rPr>
      <w:rFonts w:ascii="XO Thames" w:hAnsi="XO Thames"/>
      <w:b w:val="1"/>
      <w:color w:val="000000"/>
      <w:spacing w:val="0"/>
      <w:sz w:val="26"/>
    </w:rPr>
  </w:style>
  <w:style w:styleId="Style_15" w:type="paragraph">
    <w:name w:val="Title"/>
    <w:next w:val="Style_1"/>
    <w:link w:val="Style_15_ch"/>
    <w:pPr>
      <w:widowControl w:val="1"/>
      <w:spacing w:after="567" w:before="567" w:line="264" w:lineRule="auto"/>
      <w:ind w:firstLine="0" w:left="0" w:right="0"/>
      <w:jc w:val="center"/>
    </w:pPr>
    <w:rPr>
      <w:rFonts w:ascii="XO Thames" w:hAnsi="XO Thames"/>
      <w:b w:val="1"/>
      <w:caps w:val="1"/>
      <w:color w:val="000000"/>
      <w:spacing w:val="0"/>
      <w:sz w:val="40"/>
    </w:rPr>
  </w:style>
  <w:style w:styleId="Style_15_ch" w:type="character">
    <w:name w:val="Title"/>
    <w:link w:val="Style_15"/>
    <w:rPr>
      <w:rFonts w:ascii="XO Thames" w:hAnsi="XO Thames"/>
      <w:b w:val="1"/>
      <w:caps w:val="1"/>
      <w:color w:val="000000"/>
      <w:spacing w:val="0"/>
      <w:sz w:val="40"/>
    </w:rPr>
  </w:style>
  <w:style w:styleId="Style_16" w:type="paragraph">
    <w:name w:val="Содержимое врезки"/>
    <w:basedOn w:val="Style_1"/>
    <w:link w:val="Style_16_ch"/>
  </w:style>
  <w:style w:styleId="Style_16_ch" w:type="character">
    <w:name w:val="Содержимое врезки"/>
    <w:basedOn w:val="Style_1_ch"/>
    <w:link w:val="Style_16"/>
  </w:style>
  <w:style w:styleId="Style_17" w:type="paragraph">
    <w:name w:val="Footer"/>
    <w:link w:val="Style_17_ch"/>
    <w:rPr>
      <w:rFonts w:ascii="Times New Roman" w:hAnsi="Times New Roman"/>
      <w:sz w:val="28"/>
    </w:rPr>
  </w:style>
  <w:style w:styleId="Style_17_ch" w:type="character">
    <w:name w:val="Footer"/>
    <w:link w:val="Style_17"/>
    <w:rPr>
      <w:rFonts w:ascii="Times New Roman" w:hAnsi="Times New Roman"/>
      <w:sz w:val="28"/>
    </w:rPr>
  </w:style>
  <w:style w:styleId="Style_18" w:type="paragraph">
    <w:name w:val="Plain Text"/>
    <w:basedOn w:val="Style_1"/>
    <w:link w:val="Style_18_ch"/>
    <w:pPr>
      <w:spacing w:after="0" w:before="0" w:line="240" w:lineRule="auto"/>
      <w:ind/>
    </w:pPr>
    <w:rPr>
      <w:rFonts w:ascii="Calibri" w:hAnsi="Calibri"/>
    </w:rPr>
  </w:style>
  <w:style w:styleId="Style_18_ch" w:type="character">
    <w:name w:val="Plain Text"/>
    <w:basedOn w:val="Style_1_ch"/>
    <w:link w:val="Style_18"/>
    <w:rPr>
      <w:rFonts w:ascii="Calibri" w:hAnsi="Calibri"/>
    </w:rPr>
  </w:style>
  <w:style w:styleId="Style_19" w:type="paragraph">
    <w:name w:val="Гиперссылка1"/>
    <w:basedOn w:val="Style_20"/>
    <w:link w:val="Style_19_ch"/>
    <w:rPr>
      <w:color w:themeColor="hyperlink" w:val="0563C1"/>
      <w:u w:val="single"/>
    </w:rPr>
  </w:style>
  <w:style w:styleId="Style_19_ch" w:type="character">
    <w:name w:val="Гиперссылка1"/>
    <w:basedOn w:val="Style_20_ch"/>
    <w:link w:val="Style_19"/>
    <w:rPr>
      <w:color w:themeColor="hyperlink" w:val="0563C1"/>
      <w:u w:val="single"/>
    </w:rPr>
  </w:style>
  <w:style w:styleId="Style_21" w:type="paragraph">
    <w:name w:val="Заголовок"/>
    <w:basedOn w:val="Style_1"/>
    <w:next w:val="Style_6"/>
    <w:link w:val="Style_21_ch"/>
    <w:pPr>
      <w:keepNext w:val="1"/>
      <w:spacing w:after="120" w:before="240"/>
      <w:ind/>
    </w:pPr>
    <w:rPr>
      <w:rFonts w:ascii="Open Sans" w:hAnsi="Open Sans"/>
      <w:sz w:val="28"/>
    </w:rPr>
  </w:style>
  <w:style w:styleId="Style_21_ch" w:type="character">
    <w:name w:val="Заголовок"/>
    <w:basedOn w:val="Style_1_ch"/>
    <w:link w:val="Style_21"/>
    <w:rPr>
      <w:rFonts w:ascii="Open Sans" w:hAnsi="Open Sans"/>
      <w:sz w:val="28"/>
    </w:rPr>
  </w:style>
  <w:style w:styleId="Style_22" w:type="paragraph">
    <w:name w:val="Footer"/>
    <w:basedOn w:val="Style_1"/>
    <w:link w:val="Style_22_ch"/>
    <w:pPr>
      <w:tabs>
        <w:tab w:leader="none" w:pos="708" w:val="clear"/>
        <w:tab w:leader="none" w:pos="4677" w:val="center"/>
        <w:tab w:leader="none" w:pos="9355" w:val="right"/>
      </w:tabs>
      <w:spacing w:after="0" w:before="0" w:line="240" w:lineRule="auto"/>
      <w:ind/>
    </w:pPr>
    <w:rPr>
      <w:rFonts w:ascii="Times New Roman" w:hAnsi="Times New Roman"/>
      <w:sz w:val="28"/>
    </w:rPr>
  </w:style>
  <w:style w:styleId="Style_22_ch" w:type="character">
    <w:name w:val="Footer"/>
    <w:basedOn w:val="Style_1_ch"/>
    <w:link w:val="Style_22"/>
    <w:rPr>
      <w:rFonts w:ascii="Times New Roman" w:hAnsi="Times New Roman"/>
      <w:sz w:val="28"/>
    </w:rPr>
  </w:style>
  <w:style w:styleId="Style_23" w:type="paragraph">
    <w:name w:val="Contents 3"/>
    <w:link w:val="Style_23_ch"/>
    <w:rPr>
      <w:rFonts w:ascii="XO Thames" w:hAnsi="XO Thames"/>
      <w:sz w:val="28"/>
    </w:rPr>
  </w:style>
  <w:style w:styleId="Style_23_ch" w:type="character">
    <w:name w:val="Contents 3"/>
    <w:link w:val="Style_23"/>
    <w:rPr>
      <w:rFonts w:ascii="XO Thames" w:hAnsi="XO Thames"/>
      <w:sz w:val="28"/>
    </w:rPr>
  </w:style>
  <w:style w:styleId="Style_24" w:type="paragraph">
    <w:name w:val="Heading 3"/>
    <w:link w:val="Style_24_ch"/>
    <w:rPr>
      <w:rFonts w:ascii="XO Thames" w:hAnsi="XO Thames"/>
      <w:b w:val="1"/>
      <w:sz w:val="26"/>
    </w:rPr>
  </w:style>
  <w:style w:styleId="Style_24_ch" w:type="character">
    <w:name w:val="Heading 3"/>
    <w:link w:val="Style_24"/>
    <w:rPr>
      <w:rFonts w:ascii="XO Thames" w:hAnsi="XO Thames"/>
      <w:b w:val="1"/>
      <w:sz w:val="26"/>
    </w:rPr>
  </w:style>
  <w:style w:styleId="Style_25" w:type="paragraph">
    <w:name w:val="Contents 9"/>
    <w:link w:val="Style_25_ch"/>
    <w:rPr>
      <w:rFonts w:ascii="XO Thames" w:hAnsi="XO Thames"/>
      <w:sz w:val="28"/>
    </w:rPr>
  </w:style>
  <w:style w:styleId="Style_25_ch" w:type="character">
    <w:name w:val="Contents 9"/>
    <w:link w:val="Style_25"/>
    <w:rPr>
      <w:rFonts w:ascii="XO Thames" w:hAnsi="XO Thames"/>
      <w:sz w:val="28"/>
    </w:rPr>
  </w:style>
  <w:style w:styleId="Style_26" w:type="paragraph">
    <w:name w:val="toc 3"/>
    <w:next w:val="Style_1"/>
    <w:link w:val="Style_26_ch"/>
    <w:uiPriority w:val="39"/>
    <w:pPr>
      <w:widowControl w:val="1"/>
      <w:spacing w:after="160" w:before="0" w:line="264" w:lineRule="auto"/>
      <w:ind w:firstLine="0" w:left="400" w:right="0"/>
      <w:jc w:val="left"/>
    </w:pPr>
    <w:rPr>
      <w:rFonts w:ascii="XO Thames" w:hAnsi="XO Thames"/>
      <w:color w:val="000000"/>
      <w:spacing w:val="0"/>
      <w:sz w:val="28"/>
    </w:rPr>
  </w:style>
  <w:style w:styleId="Style_26_ch" w:type="character">
    <w:name w:val="toc 3"/>
    <w:link w:val="Style_26"/>
    <w:rPr>
      <w:rFonts w:ascii="XO Thames" w:hAnsi="XO Thames"/>
      <w:color w:val="000000"/>
      <w:spacing w:val="0"/>
      <w:sz w:val="28"/>
    </w:rPr>
  </w:style>
  <w:style w:styleId="Style_27" w:type="paragraph">
    <w:name w:val="Heading 5"/>
    <w:link w:val="Style_27_ch"/>
    <w:rPr>
      <w:rFonts w:ascii="XO Thames" w:hAnsi="XO Thames"/>
      <w:b w:val="1"/>
    </w:rPr>
  </w:style>
  <w:style w:styleId="Style_27_ch" w:type="character">
    <w:name w:val="Heading 5"/>
    <w:link w:val="Style_27"/>
    <w:rPr>
      <w:rFonts w:ascii="XO Thames" w:hAnsi="XO Thames"/>
      <w:b w:val="1"/>
    </w:rPr>
  </w:style>
  <w:style w:styleId="Style_28" w:type="paragraph">
    <w:name w:val="Contents 4"/>
    <w:link w:val="Style_28_ch"/>
    <w:rPr>
      <w:rFonts w:ascii="XO Thames" w:hAnsi="XO Thames"/>
      <w:sz w:val="28"/>
    </w:rPr>
  </w:style>
  <w:style w:styleId="Style_28_ch" w:type="character">
    <w:name w:val="Contents 4"/>
    <w:link w:val="Style_28"/>
    <w:rPr>
      <w:rFonts w:ascii="XO Thames" w:hAnsi="XO Thames"/>
      <w:sz w:val="28"/>
    </w:rPr>
  </w:style>
  <w:style w:styleId="Style_29" w:type="paragraph">
    <w:name w:val="Contents 6"/>
    <w:link w:val="Style_29_ch"/>
    <w:rPr>
      <w:rFonts w:ascii="XO Thames" w:hAnsi="XO Thames"/>
      <w:sz w:val="28"/>
    </w:rPr>
  </w:style>
  <w:style w:styleId="Style_29_ch" w:type="character">
    <w:name w:val="Contents 6"/>
    <w:link w:val="Style_29"/>
    <w:rPr>
      <w:rFonts w:ascii="XO Thames" w:hAnsi="XO Thames"/>
      <w:sz w:val="28"/>
    </w:rPr>
  </w:style>
  <w:style w:styleId="Style_30" w:type="paragraph">
    <w:name w:val="Heading 2"/>
    <w:link w:val="Style_30_ch"/>
    <w:rPr>
      <w:rFonts w:ascii="XO Thames" w:hAnsi="XO Thames"/>
      <w:b w:val="1"/>
      <w:sz w:val="28"/>
    </w:rPr>
  </w:style>
  <w:style w:styleId="Style_30_ch" w:type="character">
    <w:name w:val="Heading 2"/>
    <w:link w:val="Style_30"/>
    <w:rPr>
      <w:rFonts w:ascii="XO Thames" w:hAnsi="XO Thames"/>
      <w:b w:val="1"/>
      <w:sz w:val="28"/>
    </w:rPr>
  </w:style>
  <w:style w:styleId="Style_31" w:type="paragraph">
    <w:name w:val="Указатель"/>
    <w:basedOn w:val="Style_1"/>
    <w:link w:val="Style_31_ch"/>
  </w:style>
  <w:style w:styleId="Style_31_ch" w:type="character">
    <w:name w:val="Указатель"/>
    <w:basedOn w:val="Style_1_ch"/>
    <w:link w:val="Style_31"/>
  </w:style>
  <w:style w:styleId="Style_32" w:type="paragraph">
    <w:name w:val="heading 5"/>
    <w:next w:val="Style_1"/>
    <w:link w:val="Style_32_ch"/>
    <w:uiPriority w:val="9"/>
    <w:qFormat/>
    <w:pPr>
      <w:widowControl w:val="1"/>
      <w:spacing w:after="120" w:before="120" w:line="264" w:lineRule="auto"/>
      <w:ind w:firstLine="0" w:left="0" w:right="0"/>
      <w:jc w:val="both"/>
      <w:outlineLvl w:val="4"/>
    </w:pPr>
    <w:rPr>
      <w:rFonts w:ascii="XO Thames" w:hAnsi="XO Thames"/>
      <w:b w:val="1"/>
      <w:color w:val="000000"/>
      <w:spacing w:val="0"/>
      <w:sz w:val="22"/>
    </w:rPr>
  </w:style>
  <w:style w:styleId="Style_32_ch" w:type="character">
    <w:name w:val="heading 5"/>
    <w:link w:val="Style_32"/>
    <w:rPr>
      <w:rFonts w:ascii="XO Thames" w:hAnsi="XO Thames"/>
      <w:b w:val="1"/>
      <w:color w:val="000000"/>
      <w:spacing w:val="0"/>
      <w:sz w:val="22"/>
    </w:rPr>
  </w:style>
  <w:style w:styleId="Style_33" w:type="paragraph">
    <w:name w:val="heading 1"/>
    <w:next w:val="Style_1"/>
    <w:link w:val="Style_33_ch"/>
    <w:uiPriority w:val="9"/>
    <w:qFormat/>
    <w:pPr>
      <w:widowControl w:val="1"/>
      <w:spacing w:after="120" w:before="120" w:line="264" w:lineRule="auto"/>
      <w:ind w:firstLine="0" w:left="0" w:right="0"/>
      <w:jc w:val="both"/>
      <w:outlineLvl w:val="0"/>
    </w:pPr>
    <w:rPr>
      <w:rFonts w:ascii="XO Thames" w:hAnsi="XO Thames"/>
      <w:b w:val="1"/>
      <w:color w:val="000000"/>
      <w:spacing w:val="0"/>
      <w:sz w:val="32"/>
    </w:rPr>
  </w:style>
  <w:style w:styleId="Style_33_ch" w:type="character">
    <w:name w:val="heading 1"/>
    <w:link w:val="Style_33"/>
    <w:rPr>
      <w:rFonts w:ascii="XO Thames" w:hAnsi="XO Thames"/>
      <w:b w:val="1"/>
      <w:color w:val="000000"/>
      <w:spacing w:val="0"/>
      <w:sz w:val="32"/>
    </w:rPr>
  </w:style>
  <w:style w:styleId="Style_34" w:type="paragraph">
    <w:name w:val="Internet link"/>
    <w:link w:val="Style_34_ch"/>
    <w:pPr>
      <w:widowControl w:val="1"/>
      <w:spacing w:after="160" w:before="0" w:line="264" w:lineRule="auto"/>
      <w:ind w:firstLine="0" w:left="0" w:right="0"/>
      <w:jc w:val="left"/>
    </w:pPr>
    <w:rPr>
      <w:rFonts w:ascii="Calibri" w:hAnsi="Calibri"/>
      <w:color w:val="0000FF"/>
      <w:spacing w:val="0"/>
      <w:sz w:val="22"/>
      <w:u w:val="single"/>
    </w:rPr>
  </w:style>
  <w:style w:styleId="Style_34_ch" w:type="character">
    <w:name w:val="Internet link"/>
    <w:link w:val="Style_34"/>
    <w:rPr>
      <w:rFonts w:ascii="Calibri" w:hAnsi="Calibri"/>
      <w:color w:val="0000FF"/>
      <w:spacing w:val="0"/>
      <w:sz w:val="22"/>
      <w:u w:val="single"/>
    </w:rPr>
  </w:style>
  <w:style w:styleId="Style_35" w:type="paragraph">
    <w:name w:val="Hyperlink"/>
    <w:link w:val="Style_35_ch"/>
    <w:rPr>
      <w:color w:val="0000FF"/>
      <w:u w:val="single"/>
    </w:rPr>
  </w:style>
  <w:style w:styleId="Style_35_ch" w:type="character">
    <w:name w:val="Hyperlink"/>
    <w:link w:val="Style_35"/>
    <w:rPr>
      <w:color w:val="0000FF"/>
      <w:u w:val="single"/>
    </w:rPr>
  </w:style>
  <w:style w:styleId="Style_36" w:type="paragraph">
    <w:name w:val="Footnote"/>
    <w:link w:val="Style_36_ch"/>
    <w:pPr>
      <w:widowControl w:val="1"/>
      <w:spacing w:after="160" w:before="0" w:line="264" w:lineRule="auto"/>
      <w:ind w:firstLine="851" w:left="0" w:right="0"/>
      <w:jc w:val="both"/>
    </w:pPr>
    <w:rPr>
      <w:rFonts w:ascii="XO Thames" w:hAnsi="XO Thames"/>
      <w:color w:val="000000"/>
      <w:spacing w:val="0"/>
      <w:sz w:val="22"/>
    </w:rPr>
  </w:style>
  <w:style w:styleId="Style_36_ch" w:type="character">
    <w:name w:val="Footnote"/>
    <w:link w:val="Style_36"/>
    <w:rPr>
      <w:rFonts w:ascii="XO Thames" w:hAnsi="XO Thames"/>
      <w:color w:val="000000"/>
      <w:spacing w:val="0"/>
      <w:sz w:val="22"/>
    </w:rPr>
  </w:style>
  <w:style w:styleId="Style_37" w:type="paragraph">
    <w:name w:val="toc 1"/>
    <w:next w:val="Style_1"/>
    <w:link w:val="Style_37_ch"/>
    <w:uiPriority w:val="39"/>
    <w:pPr>
      <w:widowControl w:val="1"/>
      <w:spacing w:after="160" w:before="0" w:line="264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8"/>
    </w:rPr>
  </w:style>
  <w:style w:styleId="Style_37_ch" w:type="character">
    <w:name w:val="toc 1"/>
    <w:link w:val="Style_37"/>
    <w:rPr>
      <w:rFonts w:ascii="XO Thames" w:hAnsi="XO Thames"/>
      <w:b w:val="1"/>
      <w:color w:val="000000"/>
      <w:spacing w:val="0"/>
      <w:sz w:val="28"/>
    </w:rPr>
  </w:style>
  <w:style w:styleId="Style_38" w:type="paragraph">
    <w:name w:val="Header and Footer"/>
    <w:link w:val="Style_38_ch"/>
    <w:rPr>
      <w:rFonts w:ascii="XO Thames" w:hAnsi="XO Thames"/>
      <w:sz w:val="20"/>
    </w:rPr>
  </w:style>
  <w:style w:styleId="Style_38_ch" w:type="character">
    <w:name w:val="Header and Footer"/>
    <w:link w:val="Style_38"/>
    <w:rPr>
      <w:rFonts w:ascii="XO Thames" w:hAnsi="XO Thames"/>
      <w:sz w:val="20"/>
    </w:rPr>
  </w:style>
  <w:style w:styleId="Style_39" w:type="paragraph">
    <w:name w:val="Contents 2"/>
    <w:link w:val="Style_39_ch"/>
    <w:rPr>
      <w:rFonts w:ascii="XO Thames" w:hAnsi="XO Thames"/>
      <w:sz w:val="28"/>
    </w:rPr>
  </w:style>
  <w:style w:styleId="Style_39_ch" w:type="character">
    <w:name w:val="Contents 2"/>
    <w:link w:val="Style_39"/>
    <w:rPr>
      <w:rFonts w:ascii="XO Thames" w:hAnsi="XO Thames"/>
      <w:sz w:val="28"/>
    </w:rPr>
  </w:style>
  <w:style w:styleId="Style_40" w:type="paragraph">
    <w:name w:val="Heading 1"/>
    <w:link w:val="Style_40_ch"/>
    <w:rPr>
      <w:rFonts w:ascii="XO Thames" w:hAnsi="XO Thames"/>
      <w:b w:val="1"/>
      <w:sz w:val="32"/>
    </w:rPr>
  </w:style>
  <w:style w:styleId="Style_40_ch" w:type="character">
    <w:name w:val="Heading 1"/>
    <w:link w:val="Style_40"/>
    <w:rPr>
      <w:rFonts w:ascii="XO Thames" w:hAnsi="XO Thames"/>
      <w:b w:val="1"/>
      <w:sz w:val="32"/>
    </w:rPr>
  </w:style>
  <w:style w:styleId="Style_41" w:type="paragraph">
    <w:name w:val="Колонтитул"/>
    <w:link w:val="Style_41_ch"/>
    <w:pPr>
      <w:widowControl w:val="1"/>
      <w:spacing w:after="160" w:before="0" w:line="240" w:lineRule="auto"/>
      <w:ind w:firstLine="0" w:left="0" w:right="0"/>
      <w:jc w:val="both"/>
    </w:pPr>
    <w:rPr>
      <w:rFonts w:ascii="XO Thames" w:hAnsi="XO Thames"/>
      <w:color w:val="000000"/>
      <w:spacing w:val="0"/>
      <w:sz w:val="20"/>
    </w:rPr>
  </w:style>
  <w:style w:styleId="Style_41_ch" w:type="character">
    <w:name w:val="Колонтитул"/>
    <w:link w:val="Style_41"/>
    <w:rPr>
      <w:rFonts w:ascii="XO Thames" w:hAnsi="XO Thames"/>
      <w:color w:val="000000"/>
      <w:spacing w:val="0"/>
      <w:sz w:val="20"/>
    </w:rPr>
  </w:style>
  <w:style w:styleId="Style_42" w:type="paragraph">
    <w:name w:val="Header"/>
    <w:basedOn w:val="Style_1"/>
    <w:link w:val="Style_42_ch"/>
    <w:pPr>
      <w:tabs>
        <w:tab w:leader="none" w:pos="708" w:val="clear"/>
        <w:tab w:leader="none" w:pos="4677" w:val="center"/>
        <w:tab w:leader="none" w:pos="9355" w:val="right"/>
      </w:tabs>
      <w:spacing w:after="0" w:before="0" w:line="240" w:lineRule="auto"/>
      <w:ind/>
    </w:pPr>
  </w:style>
  <w:style w:styleId="Style_42_ch" w:type="character">
    <w:name w:val="Header"/>
    <w:basedOn w:val="Style_1_ch"/>
    <w:link w:val="Style_42"/>
  </w:style>
  <w:style w:styleId="Style_43" w:type="paragraph">
    <w:name w:val="toc 9"/>
    <w:next w:val="Style_1"/>
    <w:link w:val="Style_43_ch"/>
    <w:uiPriority w:val="39"/>
    <w:pPr>
      <w:widowControl w:val="1"/>
      <w:spacing w:after="160" w:before="0" w:line="264" w:lineRule="auto"/>
      <w:ind w:firstLine="0" w:left="1600" w:right="0"/>
      <w:jc w:val="left"/>
    </w:pPr>
    <w:rPr>
      <w:rFonts w:ascii="XO Thames" w:hAnsi="XO Thames"/>
      <w:color w:val="000000"/>
      <w:spacing w:val="0"/>
      <w:sz w:val="28"/>
    </w:rPr>
  </w:style>
  <w:style w:styleId="Style_43_ch" w:type="character">
    <w:name w:val="toc 9"/>
    <w:link w:val="Style_43"/>
    <w:rPr>
      <w:rFonts w:ascii="XO Thames" w:hAnsi="XO Thames"/>
      <w:color w:val="000000"/>
      <w:spacing w:val="0"/>
      <w:sz w:val="28"/>
    </w:rPr>
  </w:style>
  <w:style w:styleId="Style_44" w:type="paragraph">
    <w:name w:val="toc 8"/>
    <w:next w:val="Style_1"/>
    <w:link w:val="Style_44_ch"/>
    <w:uiPriority w:val="39"/>
    <w:pPr>
      <w:widowControl w:val="1"/>
      <w:spacing w:after="160" w:before="0" w:line="264" w:lineRule="auto"/>
      <w:ind w:firstLine="0" w:left="1400" w:right="0"/>
      <w:jc w:val="left"/>
    </w:pPr>
    <w:rPr>
      <w:rFonts w:ascii="XO Thames" w:hAnsi="XO Thames"/>
      <w:color w:val="000000"/>
      <w:spacing w:val="0"/>
      <w:sz w:val="28"/>
    </w:rPr>
  </w:style>
  <w:style w:styleId="Style_44_ch" w:type="character">
    <w:name w:val="toc 8"/>
    <w:link w:val="Style_44"/>
    <w:rPr>
      <w:rFonts w:ascii="XO Thames" w:hAnsi="XO Thames"/>
      <w:color w:val="000000"/>
      <w:spacing w:val="0"/>
      <w:sz w:val="28"/>
    </w:rPr>
  </w:style>
  <w:style w:styleId="Style_45" w:type="paragraph">
    <w:name w:val="Subtitle"/>
    <w:next w:val="Style_1"/>
    <w:link w:val="Style_45_ch"/>
    <w:pPr>
      <w:widowControl w:val="1"/>
      <w:spacing w:after="160" w:before="0" w:line="264" w:lineRule="auto"/>
      <w:ind w:firstLine="0" w:left="0" w:right="0"/>
      <w:jc w:val="both"/>
    </w:pPr>
    <w:rPr>
      <w:rFonts w:ascii="XO Thames" w:hAnsi="XO Thames"/>
      <w:i w:val="1"/>
      <w:color w:val="000000"/>
      <w:spacing w:val="0"/>
      <w:sz w:val="24"/>
    </w:rPr>
  </w:style>
  <w:style w:styleId="Style_45_ch" w:type="character">
    <w:name w:val="Subtitle"/>
    <w:link w:val="Style_45"/>
    <w:rPr>
      <w:rFonts w:ascii="XO Thames" w:hAnsi="XO Thames"/>
      <w:i w:val="1"/>
      <w:color w:val="000000"/>
      <w:spacing w:val="0"/>
      <w:sz w:val="24"/>
    </w:rPr>
  </w:style>
  <w:style w:styleId="Style_46" w:type="paragraph">
    <w:name w:val="Balloon Text"/>
    <w:basedOn w:val="Style_1"/>
    <w:link w:val="Style_46_ch"/>
    <w:pPr>
      <w:spacing w:after="0" w:before="0" w:line="240" w:lineRule="auto"/>
      <w:ind/>
    </w:pPr>
    <w:rPr>
      <w:rFonts w:ascii="Segoe UI" w:hAnsi="Segoe UI"/>
      <w:sz w:val="18"/>
    </w:rPr>
  </w:style>
  <w:style w:styleId="Style_46_ch" w:type="character">
    <w:name w:val="Balloon Text"/>
    <w:basedOn w:val="Style_1_ch"/>
    <w:link w:val="Style_46"/>
    <w:rPr>
      <w:rFonts w:ascii="Segoe UI" w:hAnsi="Segoe UI"/>
      <w:sz w:val="18"/>
    </w:rPr>
  </w:style>
  <w:style w:styleId="Style_47" w:type="paragraph">
    <w:name w:val="toc 5"/>
    <w:next w:val="Style_1"/>
    <w:link w:val="Style_47_ch"/>
    <w:uiPriority w:val="39"/>
    <w:pPr>
      <w:widowControl w:val="1"/>
      <w:spacing w:after="160" w:before="0" w:line="264" w:lineRule="auto"/>
      <w:ind w:firstLine="0" w:left="800" w:right="0"/>
      <w:jc w:val="left"/>
    </w:pPr>
    <w:rPr>
      <w:rFonts w:ascii="XO Thames" w:hAnsi="XO Thames"/>
      <w:color w:val="000000"/>
      <w:spacing w:val="0"/>
      <w:sz w:val="28"/>
    </w:rPr>
  </w:style>
  <w:style w:styleId="Style_47_ch" w:type="character">
    <w:name w:val="toc 5"/>
    <w:link w:val="Style_47"/>
    <w:rPr>
      <w:rFonts w:ascii="XO Thames" w:hAnsi="XO Thames"/>
      <w:color w:val="000000"/>
      <w:spacing w:val="0"/>
      <w:sz w:val="28"/>
    </w:rPr>
  </w:style>
  <w:style w:styleId="Style_48" w:type="paragraph">
    <w:name w:val="Обычный1"/>
    <w:link w:val="Style_48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48_ch" w:type="character">
    <w:name w:val="Обычный1"/>
    <w:link w:val="Style_48"/>
    <w:rPr>
      <w:rFonts w:asciiTheme="minorAscii" w:hAnsiTheme="minorHAnsi"/>
      <w:color w:val="000000"/>
      <w:spacing w:val="0"/>
      <w:sz w:val="22"/>
    </w:rPr>
  </w:style>
  <w:style w:styleId="Style_49" w:type="paragraph">
    <w:name w:val="Header"/>
    <w:link w:val="Style_49_ch"/>
  </w:style>
  <w:style w:styleId="Style_49_ch" w:type="character">
    <w:name w:val="Header"/>
    <w:link w:val="Style_49"/>
  </w:style>
  <w:style w:styleId="Style_50" w:type="paragraph">
    <w:name w:val="Subtitle"/>
    <w:link w:val="Style_50_ch"/>
    <w:uiPriority w:val="11"/>
    <w:qFormat/>
    <w:rPr>
      <w:rFonts w:ascii="XO Thames" w:hAnsi="XO Thames"/>
      <w:i w:val="1"/>
      <w:sz w:val="24"/>
    </w:rPr>
  </w:style>
  <w:style w:styleId="Style_50_ch" w:type="character">
    <w:name w:val="Subtitle"/>
    <w:link w:val="Style_50"/>
    <w:rPr>
      <w:rFonts w:ascii="XO Thames" w:hAnsi="XO Thames"/>
      <w:i w:val="1"/>
      <w:sz w:val="24"/>
    </w:rPr>
  </w:style>
  <w:style w:styleId="Style_51" w:type="paragraph">
    <w:name w:val="Caption"/>
    <w:basedOn w:val="Style_1"/>
    <w:link w:val="Style_51_ch"/>
    <w:pPr>
      <w:spacing w:after="120" w:before="120"/>
      <w:ind/>
    </w:pPr>
    <w:rPr>
      <w:i w:val="1"/>
      <w:sz w:val="24"/>
    </w:rPr>
  </w:style>
  <w:style w:styleId="Style_51_ch" w:type="character">
    <w:name w:val="Caption"/>
    <w:basedOn w:val="Style_1_ch"/>
    <w:link w:val="Style_51"/>
    <w:rPr>
      <w:i w:val="1"/>
      <w:sz w:val="24"/>
    </w:rPr>
  </w:style>
  <w:style w:styleId="Style_52" w:type="paragraph">
    <w:name w:val="Contents 8"/>
    <w:link w:val="Style_52_ch"/>
    <w:rPr>
      <w:rFonts w:ascii="XO Thames" w:hAnsi="XO Thames"/>
      <w:sz w:val="28"/>
    </w:rPr>
  </w:style>
  <w:style w:styleId="Style_52_ch" w:type="character">
    <w:name w:val="Contents 8"/>
    <w:link w:val="Style_52"/>
    <w:rPr>
      <w:rFonts w:ascii="XO Thames" w:hAnsi="XO Thames"/>
      <w:sz w:val="28"/>
    </w:rPr>
  </w:style>
  <w:style w:styleId="Style_53" w:type="paragraph">
    <w:name w:val="Title"/>
    <w:link w:val="Style_53_ch"/>
    <w:uiPriority w:val="10"/>
    <w:qFormat/>
    <w:rPr>
      <w:rFonts w:ascii="XO Thames" w:hAnsi="XO Thames"/>
      <w:b w:val="1"/>
      <w:caps w:val="1"/>
      <w:sz w:val="40"/>
    </w:rPr>
  </w:style>
  <w:style w:styleId="Style_53_ch" w:type="character">
    <w:name w:val="Title"/>
    <w:link w:val="Style_53"/>
    <w:rPr>
      <w:rFonts w:ascii="XO Thames" w:hAnsi="XO Thames"/>
      <w:b w:val="1"/>
      <w:caps w:val="1"/>
      <w:sz w:val="40"/>
    </w:rPr>
  </w:style>
  <w:style w:styleId="Style_54" w:type="paragraph">
    <w:name w:val="heading 4"/>
    <w:next w:val="Style_1"/>
    <w:link w:val="Style_54_ch"/>
    <w:uiPriority w:val="9"/>
    <w:qFormat/>
    <w:pPr>
      <w:widowControl w:val="1"/>
      <w:spacing w:after="120" w:before="120" w:line="264" w:lineRule="auto"/>
      <w:ind w:firstLine="0" w:left="0" w:right="0"/>
      <w:jc w:val="both"/>
      <w:outlineLvl w:val="3"/>
    </w:pPr>
    <w:rPr>
      <w:rFonts w:ascii="XO Thames" w:hAnsi="XO Thames"/>
      <w:b w:val="1"/>
      <w:color w:val="000000"/>
      <w:spacing w:val="0"/>
      <w:sz w:val="24"/>
    </w:rPr>
  </w:style>
  <w:style w:styleId="Style_54_ch" w:type="character">
    <w:name w:val="heading 4"/>
    <w:link w:val="Style_54"/>
    <w:rPr>
      <w:rFonts w:ascii="XO Thames" w:hAnsi="XO Thames"/>
      <w:b w:val="1"/>
      <w:color w:val="000000"/>
      <w:spacing w:val="0"/>
      <w:sz w:val="24"/>
    </w:rPr>
  </w:style>
  <w:style w:styleId="Style_55" w:type="paragraph">
    <w:name w:val="Contents 1"/>
    <w:link w:val="Style_55_ch"/>
    <w:rPr>
      <w:rFonts w:ascii="XO Thames" w:hAnsi="XO Thames"/>
      <w:b w:val="1"/>
      <w:sz w:val="28"/>
    </w:rPr>
  </w:style>
  <w:style w:styleId="Style_55_ch" w:type="character">
    <w:name w:val="Contents 1"/>
    <w:link w:val="Style_55"/>
    <w:rPr>
      <w:rFonts w:ascii="XO Thames" w:hAnsi="XO Thames"/>
      <w:b w:val="1"/>
      <w:sz w:val="28"/>
    </w:rPr>
  </w:style>
  <w:style w:styleId="Style_56" w:type="paragraph">
    <w:name w:val="heading 2"/>
    <w:next w:val="Style_1"/>
    <w:link w:val="Style_56_ch"/>
    <w:uiPriority w:val="9"/>
    <w:qFormat/>
    <w:pPr>
      <w:widowControl w:val="1"/>
      <w:spacing w:after="120" w:before="120" w:line="264" w:lineRule="auto"/>
      <w:ind w:firstLine="0" w:left="0" w:right="0"/>
      <w:jc w:val="both"/>
      <w:outlineLvl w:val="1"/>
    </w:pPr>
    <w:rPr>
      <w:rFonts w:ascii="XO Thames" w:hAnsi="XO Thames"/>
      <w:b w:val="1"/>
      <w:color w:val="000000"/>
      <w:spacing w:val="0"/>
      <w:sz w:val="28"/>
    </w:rPr>
  </w:style>
  <w:style w:styleId="Style_56_ch" w:type="character">
    <w:name w:val="heading 2"/>
    <w:link w:val="Style_56"/>
    <w:rPr>
      <w:rFonts w:ascii="XO Thames" w:hAnsi="XO Thames"/>
      <w:b w:val="1"/>
      <w:color w:val="000000"/>
      <w:spacing w:val="0"/>
      <w:sz w:val="28"/>
    </w:rPr>
  </w:style>
  <w:style w:styleId="Style_20" w:type="paragraph">
    <w:name w:val="Основной шрифт абзаца1"/>
    <w:link w:val="Style_20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20_ch" w:type="character">
    <w:name w:val="Основной шрифт абзаца1"/>
    <w:link w:val="Style_20"/>
    <w:rPr>
      <w:rFonts w:asciiTheme="minorAscii" w:hAnsiTheme="minorHAnsi"/>
      <w:color w:val="000000"/>
      <w:spacing w:val="0"/>
      <w:sz w:val="22"/>
    </w:rPr>
  </w:style>
  <w:style w:styleId="Style_57" w:type="table">
    <w:name w:val="Сетка таблицы1"/>
    <w:basedOn w:val="Style_2"/>
    <w:pPr>
      <w:spacing w:after="0" w:line="240" w:lineRule="auto"/>
      <w:ind/>
    </w:pPr>
    <w:rPr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3" w:type="table">
    <w:name w:val="Table Grid"/>
    <w:basedOn w:val="Style_2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58" w:type="table">
    <w:name w:val="Сетка таблицы2"/>
    <w:basedOn w:val="Style_2"/>
    <w:pPr>
      <w:spacing w:after="0" w:line="240" w:lineRule="auto"/>
      <w:ind/>
    </w:pPr>
    <w:rPr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2" w:type="table">
    <w:name w:val="Normal Table"/>
    <w:tblPr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theme/theme1.xml" Type="http://schemas.openxmlformats.org/officeDocument/2006/relationships/theme"/>
  <Relationship Id="rId10" Target="webSettings.xml" Type="http://schemas.openxmlformats.org/officeDocument/2006/relationships/webSettings"/>
  <Relationship Id="rId9" Target="stylesWithEffects.xml" Type="http://schemas.microsoft.com/office/2007/relationships/stylesWithEffects"/>
  <Relationship Id="rId8" Target="styles.xml" Type="http://schemas.openxmlformats.org/officeDocument/2006/relationships/styles"/>
  <Relationship Id="rId7" Target="settings.xml" Type="http://schemas.openxmlformats.org/officeDocument/2006/relationships/settings"/>
  <Relationship Id="rId6" Target="fontTable.xml" Type="http://schemas.openxmlformats.org/officeDocument/2006/relationships/fontTable"/>
  <Relationship Id="rId5" Target="media/4.jpeg" Type="http://schemas.openxmlformats.org/officeDocument/2006/relationships/image"/>
  <Relationship Id="rId4" Target="media/3.jpeg" Type="http://schemas.openxmlformats.org/officeDocument/2006/relationships/image"/>
  <Relationship Id="rId12" Target="numbering.xml" Type="http://schemas.openxmlformats.org/officeDocument/2006/relationships/numbering"/>
  <Relationship Id="rId3" Target="media/2.emf" Type="http://schemas.openxmlformats.org/officeDocument/2006/relationships/image"/>
  <Relationship Id="rId2" Target="media/1.jpeg" Type="http://schemas.openxmlformats.org/officeDocument/2006/relationships/image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2023-08-17T00:17:46Z</dcterms:modified>
</cp:coreProperties>
</file>