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1"/>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tbl>
      <w:tblPr>
        <w:tblStyle w:val="Style_2"/>
        <w:tblInd w:type="dxa" w:w="-142"/>
        <w:tblBorders>
          <w:top w:sz="4" w:val="nil"/>
          <w:left w:sz="4" w:val="nil"/>
          <w:bottom w:sz="4" w:val="nil"/>
          <w:right w:sz="4" w:val="nil"/>
          <w:insideH w:sz="4" w:val="nil"/>
          <w:insideV w:sz="4" w:val="nil"/>
        </w:tblBorders>
        <w:tblLayout w:type="fixed"/>
      </w:tblPr>
      <w:tblGrid>
        <w:gridCol w:w="9620"/>
      </w:tblGrid>
      <w:tr>
        <w:tc>
          <w:tcPr>
            <w:tcW w:type="dxa" w:w="9620"/>
            <w:tcBorders>
              <w:top w:sz="4" w:val="nil"/>
              <w:left w:sz="4" w:val="nil"/>
              <w:bottom w:sz="4" w:val="nil"/>
              <w:right w:sz="4" w:val="nil"/>
            </w:tcBorders>
          </w:tcPr>
          <w:p w14:paraId="10000000">
            <w:pPr>
              <w:spacing w:line="240" w:lineRule="auto"/>
              <w:ind/>
              <w:jc w:val="center"/>
            </w:pPr>
            <w:r>
              <w:rPr>
                <w:rFonts w:ascii="Times New Roman" w:hAnsi="Times New Roman"/>
                <w:b w:val="1"/>
                <w:sz w:val="28"/>
              </w:rPr>
              <w:t xml:space="preserve">О </w:t>
            </w:r>
            <w:r>
              <w:rPr>
                <w:rFonts w:ascii="Times New Roman" w:hAnsi="Times New Roman"/>
                <w:b w:val="1"/>
                <w:sz w:val="28"/>
              </w:rPr>
              <w:t>централизации</w:t>
            </w:r>
            <w:r>
              <w:rPr>
                <w:rFonts w:ascii="Times New Roman" w:hAnsi="Times New Roman"/>
                <w:b w:val="1"/>
                <w:sz w:val="28"/>
              </w:rPr>
              <w:t xml:space="preserve"> бюджетного (бухгалтерского) учета</w:t>
            </w:r>
          </w:p>
        </w:tc>
      </w:tr>
    </w:tbl>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 xml:space="preserve"> В соответствии с пунктом 6 статьи 264.1 Бюджетного кодекса Российской Федерации, пунктом 2 общих требований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утвержденных постановлением Правительства Российской Федерации от 27.12.2019 </w:t>
      </w:r>
      <w:r>
        <w:rPr>
          <w:rFonts w:ascii="Times New Roman" w:hAnsi="Times New Roman"/>
          <w:sz w:val="28"/>
        </w:rPr>
        <w:t>№</w:t>
      </w:r>
      <w:r>
        <w:rPr>
          <w:rFonts w:ascii="Times New Roman" w:hAnsi="Times New Roman"/>
          <w:sz w:val="28"/>
        </w:rPr>
        <w:t xml:space="preserve"> 1890</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6000000">
      <w:pPr>
        <w:spacing w:after="0" w:line="240" w:lineRule="auto"/>
        <w:ind w:firstLine="709" w:left="0"/>
        <w:jc w:val="both"/>
        <w:rPr>
          <w:rFonts w:ascii="Times New Roman" w:hAnsi="Times New Roman"/>
          <w:sz w:val="28"/>
        </w:rPr>
      </w:pPr>
    </w:p>
    <w:p w14:paraId="17000000">
      <w:pPr>
        <w:numPr>
          <w:ilvl w:val="0"/>
          <w:numId w:val="1"/>
        </w:numPr>
        <w:spacing w:after="0" w:line="240" w:lineRule="auto"/>
        <w:ind w:firstLine="709" w:left="0"/>
        <w:contextualSpacing w:val="1"/>
        <w:jc w:val="both"/>
        <w:rPr>
          <w:rFonts w:ascii="Times New Roman" w:hAnsi="Times New Roman"/>
          <w:sz w:val="28"/>
        </w:rPr>
      </w:pPr>
      <w:r>
        <w:rPr>
          <w:rFonts w:ascii="Times New Roman" w:hAnsi="Times New Roman"/>
          <w:sz w:val="28"/>
        </w:rPr>
        <w:t>Передать</w:t>
      </w:r>
      <w:r>
        <w:rPr>
          <w:rFonts w:ascii="Times New Roman" w:hAnsi="Times New Roman"/>
          <w:sz w:val="28"/>
        </w:rPr>
        <w:t xml:space="preserve"> </w:t>
      </w:r>
      <w:r>
        <w:rPr>
          <w:rFonts w:ascii="Times New Roman" w:hAnsi="Times New Roman"/>
          <w:sz w:val="28"/>
        </w:rPr>
        <w:t>М</w:t>
      </w:r>
      <w:r>
        <w:rPr>
          <w:rFonts w:ascii="Times New Roman" w:hAnsi="Times New Roman"/>
          <w:sz w:val="28"/>
        </w:rPr>
        <w:t>инистерств</w:t>
      </w:r>
      <w:r>
        <w:rPr>
          <w:rFonts w:ascii="Times New Roman" w:hAnsi="Times New Roman"/>
          <w:sz w:val="28"/>
        </w:rPr>
        <w:t>у</w:t>
      </w:r>
      <w:r>
        <w:rPr>
          <w:rFonts w:ascii="Times New Roman" w:hAnsi="Times New Roman"/>
          <w:sz w:val="28"/>
        </w:rPr>
        <w:t xml:space="preserve"> финансов</w:t>
      </w:r>
      <w:r>
        <w:rPr>
          <w:rFonts w:ascii="Times New Roman" w:hAnsi="Times New Roman"/>
          <w:sz w:val="28"/>
        </w:rPr>
        <w:t xml:space="preserve"> Камчатского края</w:t>
      </w:r>
      <w:r>
        <w:rPr>
          <w:rFonts w:ascii="Times New Roman" w:hAnsi="Times New Roman"/>
          <w:sz w:val="28"/>
        </w:rPr>
        <w:t xml:space="preserve"> (далее - уполномоченный орган) </w:t>
      </w:r>
      <w:r>
        <w:rPr>
          <w:rFonts w:ascii="Times New Roman" w:hAnsi="Times New Roman"/>
          <w:sz w:val="28"/>
        </w:rPr>
        <w:t xml:space="preserve">полномочия </w:t>
      </w:r>
      <w:r>
        <w:rPr>
          <w:rFonts w:ascii="Times New Roman" w:hAnsi="Times New Roman"/>
          <w:sz w:val="28"/>
        </w:rPr>
        <w:t xml:space="preserve">исполнительных органов </w:t>
      </w:r>
      <w:r>
        <w:rPr>
          <w:rFonts w:ascii="Times New Roman" w:hAnsi="Times New Roman"/>
          <w:sz w:val="28"/>
        </w:rPr>
        <w:t>Камчатского края</w:t>
      </w:r>
      <w:r>
        <w:rPr>
          <w:rFonts w:ascii="Times New Roman" w:hAnsi="Times New Roman"/>
          <w:sz w:val="28"/>
        </w:rPr>
        <w:t xml:space="preserve">, </w:t>
      </w:r>
      <w:r>
        <w:rPr>
          <w:rFonts w:ascii="Times New Roman" w:hAnsi="Times New Roman"/>
          <w:sz w:val="28"/>
        </w:rPr>
        <w:t xml:space="preserve">краевых </w:t>
      </w:r>
      <w:r>
        <w:rPr>
          <w:rFonts w:ascii="Times New Roman" w:hAnsi="Times New Roman"/>
          <w:sz w:val="28"/>
        </w:rPr>
        <w:t>казенных учреждений</w:t>
      </w:r>
      <w:r>
        <w:rPr>
          <w:rFonts w:ascii="Times New Roman" w:hAnsi="Times New Roman"/>
          <w:sz w:val="28"/>
        </w:rPr>
        <w:t xml:space="preserve"> по </w:t>
      </w:r>
      <w:r>
        <w:rPr>
          <w:rFonts w:ascii="Times New Roman" w:hAnsi="Times New Roman"/>
          <w:sz w:val="28"/>
        </w:rPr>
        <w:t>начислени</w:t>
      </w:r>
      <w:r>
        <w:rPr>
          <w:rFonts w:ascii="Times New Roman" w:hAnsi="Times New Roman"/>
          <w:sz w:val="28"/>
        </w:rPr>
        <w:t>ю</w:t>
      </w:r>
      <w:r>
        <w:rPr>
          <w:rFonts w:ascii="Times New Roman" w:hAnsi="Times New Roman"/>
          <w:sz w:val="28"/>
        </w:rPr>
        <w:t xml:space="preserve">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r>
        <w:rPr>
          <w:rFonts w:ascii="Times New Roman" w:hAnsi="Times New Roman"/>
          <w:sz w:val="28"/>
        </w:rPr>
        <w:t xml:space="preserve">, по </w:t>
      </w:r>
      <w:r>
        <w:rPr>
          <w:rFonts w:ascii="Times New Roman" w:hAnsi="Times New Roman"/>
          <w:sz w:val="28"/>
        </w:rPr>
        <w:t>ведени</w:t>
      </w:r>
      <w:r>
        <w:rPr>
          <w:rFonts w:ascii="Times New Roman" w:hAnsi="Times New Roman"/>
          <w:sz w:val="28"/>
        </w:rPr>
        <w:t>ю</w:t>
      </w:r>
      <w:r>
        <w:rPr>
          <w:rFonts w:ascii="Times New Roman" w:hAnsi="Times New Roman"/>
          <w:sz w:val="28"/>
        </w:rPr>
        <w:t xml:space="preserve"> </w:t>
      </w:r>
      <w:r>
        <w:rPr>
          <w:rFonts w:ascii="Times New Roman" w:hAnsi="Times New Roman"/>
          <w:sz w:val="28"/>
        </w:rPr>
        <w:t xml:space="preserve">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обеспечение </w:t>
      </w:r>
      <w:r>
        <w:rPr>
          <w:rFonts w:ascii="Times New Roman" w:hAnsi="Times New Roman"/>
          <w:sz w:val="28"/>
        </w:rPr>
        <w:t>представления такой отчетности в соответствующие государственные (муниципальные) органы</w:t>
      </w:r>
      <w:r>
        <w:rPr>
          <w:rFonts w:ascii="Times New Roman" w:hAnsi="Times New Roman"/>
          <w:sz w:val="28"/>
        </w:rPr>
        <w:t xml:space="preserve"> (далее – централизуемые полномочия)</w:t>
      </w:r>
      <w:r>
        <w:rPr>
          <w:rFonts w:ascii="Times New Roman" w:hAnsi="Times New Roman"/>
          <w:sz w:val="28"/>
        </w:rPr>
        <w:t>.</w:t>
      </w:r>
    </w:p>
    <w:p w14:paraId="18000000">
      <w:pPr>
        <w:spacing w:after="0" w:line="240" w:lineRule="auto"/>
        <w:ind w:firstLine="709" w:left="0"/>
        <w:contextualSpacing w:val="1"/>
        <w:jc w:val="both"/>
        <w:rPr>
          <w:rFonts w:ascii="Times New Roman" w:hAnsi="Times New Roman"/>
          <w:sz w:val="28"/>
        </w:rPr>
      </w:pPr>
      <w:r>
        <w:rPr>
          <w:rFonts w:ascii="Times New Roman" w:hAnsi="Times New Roman"/>
          <w:sz w:val="28"/>
        </w:rPr>
        <w:t>2. Установить, что:</w:t>
      </w:r>
    </w:p>
    <w:p w14:paraId="19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реализация централизуемых полномочий осуществляется </w:t>
      </w:r>
      <w:r>
        <w:rPr>
          <w:rFonts w:ascii="Times New Roman" w:hAnsi="Times New Roman"/>
          <w:sz w:val="28"/>
        </w:rPr>
        <w:t>посредством</w:t>
      </w:r>
      <w:r>
        <w:rPr>
          <w:rFonts w:ascii="Times New Roman" w:hAnsi="Times New Roman"/>
          <w:sz w:val="28"/>
        </w:rPr>
        <w:t xml:space="preserve"> </w:t>
      </w:r>
      <w:r>
        <w:rPr>
          <w:rFonts w:ascii="Times New Roman" w:hAnsi="Times New Roman"/>
          <w:sz w:val="28"/>
        </w:rPr>
        <w:t>использования государственной</w:t>
      </w:r>
      <w:r>
        <w:rPr>
          <w:rFonts w:ascii="Times New Roman" w:hAnsi="Times New Roman"/>
          <w:sz w:val="28"/>
        </w:rPr>
        <w:t xml:space="preserve"> </w:t>
      </w:r>
      <w:r>
        <w:rPr>
          <w:rFonts w:ascii="Times New Roman" w:hAnsi="Times New Roman"/>
          <w:sz w:val="28"/>
        </w:rPr>
        <w:t>информационной</w:t>
      </w:r>
      <w:r>
        <w:rPr>
          <w:rFonts w:ascii="Times New Roman" w:hAnsi="Times New Roman"/>
          <w:sz w:val="28"/>
        </w:rPr>
        <w:t xml:space="preserve"> систем</w:t>
      </w:r>
      <w:r>
        <w:rPr>
          <w:rFonts w:ascii="Times New Roman" w:hAnsi="Times New Roman"/>
          <w:sz w:val="28"/>
        </w:rPr>
        <w:t>ы</w:t>
      </w:r>
      <w:r>
        <w:rPr>
          <w:rFonts w:ascii="Times New Roman" w:hAnsi="Times New Roman"/>
          <w:sz w:val="28"/>
        </w:rPr>
        <w:t xml:space="preserve"> Камчатского края «Централизованная информационная система бюджетного (бухгалтерского) учета»</w:t>
      </w:r>
      <w:r>
        <w:rPr>
          <w:rFonts w:ascii="Times New Roman" w:hAnsi="Times New Roman"/>
          <w:sz w:val="28"/>
        </w:rPr>
        <w:t xml:space="preserve">; </w:t>
      </w:r>
    </w:p>
    <w:p w14:paraId="1A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уполномоченный орган осуществляет централизуемые полномочия через </w:t>
      </w:r>
      <w:r>
        <w:rPr>
          <w:rFonts w:ascii="Times New Roman" w:hAnsi="Times New Roman"/>
          <w:sz w:val="28"/>
        </w:rPr>
        <w:t xml:space="preserve">краевое государственное казенное учреждение </w:t>
      </w:r>
      <w:r>
        <w:rPr>
          <w:rFonts w:ascii="Times New Roman" w:hAnsi="Times New Roman"/>
          <w:sz w:val="28"/>
        </w:rPr>
        <w:t>«Центр финансового обеспечения»;</w:t>
      </w:r>
    </w:p>
    <w:p w14:paraId="1B000000">
      <w:pPr>
        <w:spacing w:after="0" w:line="240" w:lineRule="auto"/>
        <w:ind w:firstLine="709" w:left="0"/>
        <w:contextualSpacing w:val="1"/>
        <w:jc w:val="both"/>
        <w:rPr>
          <w:rFonts w:ascii="Times New Roman" w:hAnsi="Times New Roman"/>
          <w:sz w:val="28"/>
        </w:rPr>
      </w:pPr>
      <w:r>
        <w:rPr>
          <w:rFonts w:ascii="Times New Roman" w:hAnsi="Times New Roman"/>
          <w:sz w:val="28"/>
        </w:rPr>
        <w:t>3) передач</w:t>
      </w:r>
      <w:r>
        <w:rPr>
          <w:rFonts w:ascii="Times New Roman" w:hAnsi="Times New Roman"/>
          <w:sz w:val="28"/>
        </w:rPr>
        <w:t>а</w:t>
      </w:r>
      <w:r>
        <w:rPr>
          <w:rFonts w:ascii="Times New Roman" w:hAnsi="Times New Roman"/>
          <w:sz w:val="28"/>
        </w:rPr>
        <w:t xml:space="preserve"> централизуемых полномочий </w:t>
      </w:r>
      <w:r>
        <w:rPr>
          <w:rFonts w:ascii="Times New Roman" w:hAnsi="Times New Roman"/>
          <w:sz w:val="28"/>
        </w:rPr>
        <w:t>производится в срок</w:t>
      </w:r>
      <w:r>
        <w:rPr>
          <w:rFonts w:ascii="Times New Roman" w:hAnsi="Times New Roman"/>
          <w:sz w:val="28"/>
        </w:rPr>
        <w:t xml:space="preserve"> до </w:t>
      </w:r>
      <w:r>
        <w:rPr>
          <w:rFonts w:ascii="Times New Roman" w:hAnsi="Times New Roman"/>
        </w:rPr>
        <w:br/>
      </w:r>
      <w:r>
        <w:rPr>
          <w:rFonts w:ascii="Times New Roman" w:hAnsi="Times New Roman"/>
          <w:sz w:val="28"/>
        </w:rPr>
        <w:t>31 декабря 2023 года.</w:t>
      </w:r>
    </w:p>
    <w:p w14:paraId="1C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 </w:t>
      </w:r>
      <w:r>
        <w:rPr>
          <w:rFonts w:ascii="Times New Roman" w:hAnsi="Times New Roman"/>
          <w:sz w:val="28"/>
        </w:rPr>
        <w:t>Утвердить</w:t>
      </w:r>
      <w:r>
        <w:rPr>
          <w:rFonts w:ascii="Times New Roman" w:hAnsi="Times New Roman"/>
          <w:sz w:val="28"/>
        </w:rPr>
        <w:t>:</w:t>
      </w:r>
    </w:p>
    <w:p w14:paraId="1D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xml:space="preserve"> перечень исполнительных органов</w:t>
      </w:r>
      <w:r>
        <w:rPr>
          <w:rFonts w:ascii="Times New Roman" w:hAnsi="Times New Roman"/>
          <w:sz w:val="28"/>
        </w:rPr>
        <w:t xml:space="preserve"> </w:t>
      </w:r>
      <w:r>
        <w:rPr>
          <w:rFonts w:ascii="Times New Roman" w:hAnsi="Times New Roman"/>
          <w:sz w:val="28"/>
        </w:rPr>
        <w:t>Камчатского края</w:t>
      </w:r>
      <w:r>
        <w:rPr>
          <w:rFonts w:ascii="Times New Roman" w:hAnsi="Times New Roman"/>
          <w:sz w:val="28"/>
        </w:rPr>
        <w:t xml:space="preserve">, </w:t>
      </w:r>
      <w:r>
        <w:rPr>
          <w:rFonts w:ascii="Times New Roman" w:hAnsi="Times New Roman"/>
          <w:sz w:val="28"/>
        </w:rPr>
        <w:t xml:space="preserve">краевых </w:t>
      </w:r>
      <w:r>
        <w:rPr>
          <w:rFonts w:ascii="Times New Roman" w:hAnsi="Times New Roman"/>
          <w:sz w:val="28"/>
        </w:rPr>
        <w:t xml:space="preserve">казенных учреждений, полномочия которых </w:t>
      </w:r>
      <w:r>
        <w:rPr>
          <w:rFonts w:ascii="Times New Roman" w:hAnsi="Times New Roman"/>
          <w:sz w:val="28"/>
        </w:rPr>
        <w:t>централизу</w:t>
      </w:r>
      <w:r>
        <w:rPr>
          <w:rFonts w:ascii="Times New Roman" w:hAnsi="Times New Roman"/>
          <w:sz w:val="28"/>
        </w:rPr>
        <w:t>ются</w:t>
      </w:r>
      <w:r>
        <w:rPr>
          <w:rFonts w:ascii="Times New Roman" w:hAnsi="Times New Roman"/>
          <w:sz w:val="28"/>
        </w:rPr>
        <w:t xml:space="preserve"> </w:t>
      </w:r>
      <w:r>
        <w:rPr>
          <w:rFonts w:ascii="Times New Roman" w:hAnsi="Times New Roman"/>
          <w:sz w:val="28"/>
        </w:rPr>
        <w:t xml:space="preserve">согласно приложению </w:t>
      </w:r>
      <w:r>
        <w:rPr>
          <w:rFonts w:ascii="Times New Roman" w:hAnsi="Times New Roman"/>
          <w:sz w:val="28"/>
        </w:rPr>
        <w:t>1 к настоящему постановлению;</w:t>
      </w:r>
    </w:p>
    <w:p w14:paraId="1E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Положение об организации осуществления централизуемых полномочий </w:t>
      </w:r>
      <w:r>
        <w:rPr>
          <w:rFonts w:ascii="Times New Roman" w:hAnsi="Times New Roman"/>
          <w:sz w:val="28"/>
        </w:rPr>
        <w:t>через краевое государственное казенное учреждение «Центр финансового обеспечения»</w:t>
      </w:r>
      <w:r>
        <w:rPr>
          <w:rFonts w:ascii="Times New Roman" w:hAnsi="Times New Roman"/>
          <w:sz w:val="28"/>
        </w:rPr>
        <w:t xml:space="preserve"> согласно приложению </w:t>
      </w:r>
      <w:r>
        <w:rPr>
          <w:rFonts w:ascii="Times New Roman" w:hAnsi="Times New Roman"/>
          <w:sz w:val="28"/>
        </w:rPr>
        <w:t>2</w:t>
      </w:r>
      <w:r>
        <w:rPr>
          <w:rFonts w:ascii="Times New Roman" w:hAnsi="Times New Roman"/>
          <w:sz w:val="28"/>
        </w:rPr>
        <w:t xml:space="preserve"> к настоящему постановлению.</w:t>
      </w:r>
    </w:p>
    <w:p w14:paraId="1F000000">
      <w:pPr>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Настоящее постановление вступает в силу через 10 дней после дня его официального опубликования. </w:t>
      </w:r>
    </w:p>
    <w:p w14:paraId="20000000">
      <w:pPr>
        <w:spacing w:after="0" w:line="240" w:lineRule="auto"/>
        <w:ind w:firstLine="709" w:left="0"/>
        <w:jc w:val="both"/>
        <w:rPr>
          <w:rFonts w:ascii="Times New Roman" w:hAnsi="Times New Roman"/>
          <w:sz w:val="28"/>
        </w:rPr>
      </w:pPr>
    </w:p>
    <w:p w14:paraId="21000000">
      <w:pPr>
        <w:spacing w:after="0" w:line="240" w:lineRule="auto"/>
        <w:ind w:firstLine="709" w:left="0"/>
        <w:jc w:val="both"/>
        <w:rPr>
          <w:rFonts w:ascii="Times New Roman" w:hAnsi="Times New Roman"/>
          <w:sz w:val="28"/>
        </w:rPr>
      </w:pPr>
    </w:p>
    <w:p w14:paraId="22000000">
      <w:pPr>
        <w:spacing w:after="0" w:line="240"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578"/>
        <w:gridCol w:w="3544"/>
        <w:gridCol w:w="2410"/>
      </w:tblGrid>
      <w:tr>
        <w:trPr>
          <w:trHeight w:hRule="atLeast" w:val="2220"/>
        </w:trPr>
        <w:tc>
          <w:tcPr>
            <w:tcW w:type="dxa" w:w="3578"/>
            <w:shd w:fill="auto" w:val="clear"/>
            <w:tcMar>
              <w:left w:type="dxa" w:w="0"/>
              <w:right w:type="dxa" w:w="0"/>
            </w:tcMar>
          </w:tcPr>
          <w:p w14:paraId="23000000">
            <w:pPr>
              <w:spacing w:after="0" w:line="240" w:lineRule="auto"/>
              <w:ind w:hanging="30" w:left="30" w:right="27"/>
              <w:jc w:val="both"/>
              <w:rPr>
                <w:rFonts w:ascii="Times New Roman" w:hAnsi="Times New Roman"/>
                <w:sz w:val="24"/>
              </w:rPr>
            </w:pPr>
            <w:r>
              <w:rPr>
                <w:rFonts w:ascii="Times New Roman" w:hAnsi="Times New Roman"/>
                <w:sz w:val="28"/>
              </w:rPr>
              <w:t>Председатель Правительства Камчатского края</w:t>
            </w:r>
          </w:p>
          <w:p w14:paraId="24000000">
            <w:pPr>
              <w:spacing w:after="0" w:line="240" w:lineRule="auto"/>
              <w:ind w:firstLine="679" w:left="30" w:right="27"/>
              <w:jc w:val="both"/>
              <w:rPr>
                <w:rFonts w:ascii="Times New Roman" w:hAnsi="Times New Roman"/>
                <w:sz w:val="24"/>
              </w:rPr>
            </w:pPr>
          </w:p>
        </w:tc>
        <w:tc>
          <w:tcPr>
            <w:tcW w:type="dxa" w:w="3544"/>
            <w:shd w:fill="auto" w:val="clear"/>
            <w:tcMar>
              <w:left w:type="dxa" w:w="0"/>
              <w:right w:type="dxa" w:w="0"/>
            </w:tcMar>
          </w:tcPr>
          <w:p w14:paraId="25000000">
            <w:pPr>
              <w:spacing w:after="0" w:line="240" w:lineRule="auto"/>
              <w:ind w:firstLine="706" w:left="3"/>
              <w:jc w:val="both"/>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6000000">
            <w:pPr>
              <w:spacing w:after="0" w:line="240" w:lineRule="auto"/>
              <w:ind w:firstLine="567" w:left="142"/>
              <w:jc w:val="both"/>
              <w:rPr>
                <w:rFonts w:ascii="Times New Roman" w:hAnsi="Times New Roman"/>
                <w:sz w:val="24"/>
              </w:rPr>
            </w:pPr>
          </w:p>
        </w:tc>
        <w:tc>
          <w:tcPr>
            <w:tcW w:type="dxa" w:w="2410"/>
            <w:shd w:fill="auto" w:val="clear"/>
            <w:tcMar>
              <w:left w:type="dxa" w:w="0"/>
              <w:right w:type="dxa" w:w="0"/>
            </w:tcMar>
          </w:tcPr>
          <w:p w14:paraId="27000000">
            <w:pPr>
              <w:spacing w:after="0" w:line="240" w:lineRule="auto"/>
              <w:ind w:firstLine="709" w:right="135"/>
              <w:jc w:val="both"/>
              <w:rPr>
                <w:rFonts w:ascii="Times New Roman" w:hAnsi="Times New Roman"/>
                <w:sz w:val="28"/>
              </w:rPr>
            </w:pPr>
          </w:p>
          <w:p w14:paraId="28000000">
            <w:pPr>
              <w:spacing w:after="0" w:line="240" w:lineRule="auto"/>
              <w:ind w:firstLine="709"/>
              <w:jc w:val="right"/>
              <w:rPr>
                <w:rFonts w:ascii="Times New Roman" w:hAnsi="Times New Roman"/>
                <w:sz w:val="24"/>
              </w:rPr>
            </w:pPr>
            <w:r>
              <w:rPr>
                <w:rFonts w:ascii="Times New Roman" w:hAnsi="Times New Roman"/>
                <w:sz w:val="28"/>
              </w:rPr>
              <w:t>Е.А. Чекин</w:t>
            </w:r>
          </w:p>
        </w:tc>
      </w:tr>
    </w:tbl>
    <w:p w14:paraId="29000000">
      <w:pPr>
        <w:spacing w:after="0" w:line="240" w:lineRule="auto"/>
        <w:ind w:firstLine="709" w:left="0"/>
        <w:jc w:val="both"/>
        <w:rPr>
          <w:rFonts w:ascii="Times New Roman" w:hAnsi="Times New Roman"/>
          <w:sz w:val="28"/>
        </w:rPr>
      </w:pPr>
    </w:p>
    <w:p w14:paraId="2A000000">
      <w:pPr>
        <w:spacing w:line="240" w:lineRule="auto"/>
        <w:ind/>
      </w:pPr>
    </w:p>
    <w:p w14:paraId="2B000000">
      <w:pPr>
        <w:spacing w:line="240" w:lineRule="auto"/>
        <w:ind/>
      </w:pPr>
    </w:p>
    <w:p w14:paraId="2C000000">
      <w:pPr>
        <w:spacing w:line="240" w:lineRule="auto"/>
        <w:ind/>
      </w:pPr>
    </w:p>
    <w:p w14:paraId="2D000000">
      <w:pPr>
        <w:spacing w:line="240" w:lineRule="auto"/>
        <w:ind/>
      </w:pPr>
    </w:p>
    <w:p w14:paraId="2E000000">
      <w:pPr>
        <w:spacing w:line="240" w:lineRule="auto"/>
        <w:ind/>
      </w:pPr>
    </w:p>
    <w:p w14:paraId="2F000000">
      <w:pPr>
        <w:spacing w:line="240" w:lineRule="auto"/>
        <w:ind/>
      </w:pPr>
    </w:p>
    <w:p w14:paraId="30000000">
      <w:pPr>
        <w:spacing w:line="240" w:lineRule="auto"/>
        <w:ind/>
      </w:pPr>
    </w:p>
    <w:p w14:paraId="31000000">
      <w:pPr>
        <w:spacing w:line="240" w:lineRule="auto"/>
        <w:ind/>
      </w:pPr>
    </w:p>
    <w:tbl>
      <w:tblPr>
        <w:tblStyle w:val="Style_2"/>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32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3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4000000">
            <w:pPr>
              <w:widowControl w:val="0"/>
              <w:spacing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35000000">
            <w:pPr>
              <w:widowControl w:val="0"/>
              <w:spacing w:line="240" w:lineRule="auto"/>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6000000">
            <w:pPr>
              <w:widowControl w:val="0"/>
              <w:spacing w:line="240" w:lineRule="auto"/>
              <w:ind w:hanging="8079" w:left="8079"/>
              <w:rPr>
                <w:rFonts w:ascii="Times New Roman" w:hAnsi="Times New Roman"/>
                <w:sz w:val="28"/>
              </w:rPr>
            </w:pPr>
            <w:r>
              <w:rPr>
                <w:rFonts w:ascii="Times New Roman" w:hAnsi="Times New Roman"/>
                <w:sz w:val="28"/>
              </w:rPr>
              <w:t xml:space="preserve">Приложение </w:t>
            </w:r>
            <w:bookmarkStart w:id="3" w:name="_GoBack"/>
            <w:bookmarkEnd w:id="3"/>
            <w:r>
              <w:rPr>
                <w:rFonts w:ascii="Times New Roman" w:hAnsi="Times New Roman"/>
                <w:sz w:val="28"/>
              </w:rPr>
              <w:t>1 к постановлению</w:t>
            </w:r>
          </w:p>
        </w:tc>
      </w:tr>
      <w:tr>
        <w:tc>
          <w:tcPr>
            <w:tcW w:type="dxa" w:w="480"/>
            <w:tcBorders>
              <w:top w:sz="4" w:val="nil"/>
              <w:left w:sz="4" w:val="nil"/>
              <w:bottom w:sz="4" w:val="nil"/>
              <w:right w:sz="4" w:val="nil"/>
            </w:tcBorders>
          </w:tcPr>
          <w:p w14:paraId="37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8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9000000">
            <w:pPr>
              <w:widowControl w:val="0"/>
              <w:spacing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3A000000">
            <w:pPr>
              <w:widowControl w:val="0"/>
              <w:spacing w:line="240" w:lineRule="auto"/>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B000000">
            <w:pPr>
              <w:widowControl w:val="0"/>
              <w:spacing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3C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D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3E000000">
            <w:pPr>
              <w:spacing w:after="60"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3F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40000000">
            <w:pPr>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41000000">
            <w:pPr>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42000000">
            <w:pPr>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43000000">
            <w:pPr>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44000000">
      <w:pPr>
        <w:spacing w:after="0" w:line="240" w:lineRule="auto"/>
        <w:ind w:firstLine="709" w:left="0"/>
        <w:jc w:val="center"/>
        <w:rPr>
          <w:rFonts w:ascii="Times New Roman" w:hAnsi="Times New Roman"/>
          <w:sz w:val="28"/>
        </w:rPr>
      </w:pPr>
    </w:p>
    <w:p w14:paraId="45000000">
      <w:pPr>
        <w:spacing w:after="0" w:line="240" w:lineRule="auto"/>
        <w:ind w:firstLine="709" w:left="0"/>
        <w:jc w:val="center"/>
        <w:rPr>
          <w:rFonts w:ascii="Times New Roman" w:hAnsi="Times New Roman"/>
          <w:sz w:val="28"/>
        </w:rPr>
      </w:pPr>
      <w:r>
        <w:rPr>
          <w:rFonts w:ascii="Times New Roman" w:hAnsi="Times New Roman"/>
          <w:sz w:val="28"/>
        </w:rPr>
        <w:t>Перечень</w:t>
      </w:r>
    </w:p>
    <w:p w14:paraId="46000000">
      <w:pPr>
        <w:spacing w:after="0" w:line="240" w:lineRule="auto"/>
        <w:ind w:firstLine="709" w:left="0"/>
        <w:jc w:val="center"/>
        <w:rPr>
          <w:rFonts w:ascii="Times New Roman" w:hAnsi="Times New Roman"/>
          <w:sz w:val="28"/>
        </w:rPr>
      </w:pPr>
      <w:r>
        <w:rPr>
          <w:rFonts w:ascii="Times New Roman" w:hAnsi="Times New Roman"/>
          <w:sz w:val="28"/>
        </w:rPr>
        <w:t>исполнительных органов</w:t>
      </w:r>
      <w:r>
        <w:rPr>
          <w:rFonts w:ascii="Times New Roman" w:hAnsi="Times New Roman"/>
          <w:sz w:val="28"/>
        </w:rPr>
        <w:t xml:space="preserve"> </w:t>
      </w:r>
      <w:r>
        <w:rPr>
          <w:rFonts w:ascii="Times New Roman" w:hAnsi="Times New Roman"/>
          <w:sz w:val="28"/>
        </w:rPr>
        <w:t>Камчатского края</w:t>
      </w:r>
      <w:r>
        <w:rPr>
          <w:rFonts w:ascii="Times New Roman" w:hAnsi="Times New Roman"/>
          <w:sz w:val="28"/>
        </w:rPr>
        <w:t xml:space="preserve">, </w:t>
      </w:r>
      <w:r>
        <w:rPr>
          <w:rFonts w:ascii="Times New Roman" w:hAnsi="Times New Roman"/>
          <w:sz w:val="28"/>
        </w:rPr>
        <w:t xml:space="preserve">краевых </w:t>
      </w:r>
      <w:r>
        <w:rPr>
          <w:rFonts w:ascii="Times New Roman" w:hAnsi="Times New Roman"/>
          <w:sz w:val="28"/>
        </w:rPr>
        <w:t>казенных учреждений полномочия которых централизуются</w:t>
      </w:r>
    </w:p>
    <w:p w14:paraId="47000000">
      <w:pPr>
        <w:spacing w:after="0" w:line="240" w:lineRule="auto"/>
        <w:ind/>
        <w:jc w:val="center"/>
        <w:rPr>
          <w:rFonts w:ascii="Times New Roman" w:hAnsi="Times New Roman"/>
          <w:sz w:val="28"/>
        </w:rPr>
      </w:pPr>
    </w:p>
    <w:p w14:paraId="48000000">
      <w:pPr>
        <w:spacing w:after="0" w:line="240" w:lineRule="auto"/>
        <w:ind w:firstLine="709"/>
        <w:jc w:val="both"/>
        <w:rPr>
          <w:rFonts w:ascii="Times New Roman" w:hAnsi="Times New Roman"/>
          <w:sz w:val="28"/>
        </w:rPr>
      </w:pPr>
    </w:p>
    <w:p w14:paraId="49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природных ресурсов и экологии Камчатского края;</w:t>
      </w:r>
    </w:p>
    <w:p w14:paraId="4A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рыбного хозяйства Камчатского края;</w:t>
      </w:r>
    </w:p>
    <w:p w14:paraId="4B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жилищно-коммунального хозяйства и энергетики Камчатского края;</w:t>
      </w:r>
    </w:p>
    <w:p w14:paraId="4C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цифрового развития Камчатского края;</w:t>
      </w:r>
    </w:p>
    <w:p w14:paraId="4D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транспорта и дорожного строительства Камчатского края;</w:t>
      </w:r>
    </w:p>
    <w:p w14:paraId="4E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экономического развития Камчатского края;</w:t>
      </w:r>
    </w:p>
    <w:p w14:paraId="4F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по делам местного самоуправления и развитию Корякского округа Камчатского края;</w:t>
      </w:r>
    </w:p>
    <w:p w14:paraId="50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развития гражданского общества и молодежи Камчатского края;</w:t>
      </w:r>
    </w:p>
    <w:p w14:paraId="51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по чрезвычайным ситуациям Камчатского края;</w:t>
      </w:r>
    </w:p>
    <w:p w14:paraId="52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финансов Камчатского края;</w:t>
      </w:r>
    </w:p>
    <w:p w14:paraId="53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Министерство туризма Камчатского края</w:t>
      </w:r>
      <w:r>
        <w:rPr>
          <w:rFonts w:ascii="Times New Roman" w:hAnsi="Times New Roman"/>
          <w:sz w:val="28"/>
        </w:rPr>
        <w:t>;</w:t>
      </w:r>
    </w:p>
    <w:p w14:paraId="54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Служба охраны объектов культурного наследия Камчатского края</w:t>
      </w:r>
      <w:r>
        <w:rPr>
          <w:rFonts w:ascii="Times New Roman" w:hAnsi="Times New Roman"/>
          <w:sz w:val="28"/>
        </w:rPr>
        <w:t>;</w:t>
      </w:r>
    </w:p>
    <w:p w14:paraId="55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Краевое государственное казенное учреждение </w:t>
      </w:r>
      <w:r>
        <w:rPr>
          <w:rFonts w:ascii="Times New Roman" w:hAnsi="Times New Roman"/>
          <w:sz w:val="28"/>
        </w:rPr>
        <w:t>«</w:t>
      </w:r>
      <w:r>
        <w:rPr>
          <w:rFonts w:ascii="Times New Roman" w:hAnsi="Times New Roman"/>
          <w:sz w:val="28"/>
        </w:rPr>
        <w:t>Центр по обеспечению деятельности Общественной палаты и Уполномоченных Камчатского края</w:t>
      </w:r>
      <w:r>
        <w:rPr>
          <w:rFonts w:ascii="Times New Roman" w:hAnsi="Times New Roman"/>
          <w:sz w:val="28"/>
        </w:rPr>
        <w:t>»</w:t>
      </w:r>
      <w:r>
        <w:rPr>
          <w:rFonts w:ascii="Times New Roman" w:hAnsi="Times New Roman"/>
          <w:sz w:val="28"/>
        </w:rPr>
        <w:t>;</w:t>
      </w:r>
    </w:p>
    <w:p w14:paraId="56000000">
      <w:pPr>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Краевое государственное казенное учреждение </w:t>
      </w:r>
      <w:r>
        <w:rPr>
          <w:rFonts w:ascii="Times New Roman" w:hAnsi="Times New Roman"/>
          <w:sz w:val="28"/>
        </w:rPr>
        <w:t>«</w:t>
      </w:r>
      <w:r>
        <w:rPr>
          <w:rFonts w:ascii="Times New Roman" w:hAnsi="Times New Roman"/>
          <w:sz w:val="28"/>
        </w:rPr>
        <w:t>Юридическое бюро Камчатского края</w:t>
      </w:r>
      <w:r>
        <w:rPr>
          <w:rFonts w:ascii="Times New Roman" w:hAnsi="Times New Roman"/>
          <w:sz w:val="28"/>
        </w:rPr>
        <w:t>»</w:t>
      </w:r>
      <w:r>
        <w:rPr>
          <w:rFonts w:ascii="Times New Roman" w:hAnsi="Times New Roman"/>
          <w:sz w:val="28"/>
        </w:rPr>
        <w:t>.</w:t>
      </w:r>
    </w:p>
    <w:p w14:paraId="57000000">
      <w:pPr>
        <w:spacing w:after="0" w:line="240" w:lineRule="auto"/>
        <w:ind w:firstLine="709" w:left="0"/>
        <w:jc w:val="both"/>
        <w:rPr>
          <w:rFonts w:ascii="Times New Roman" w:hAnsi="Times New Roman"/>
          <w:sz w:val="28"/>
        </w:rPr>
      </w:pPr>
    </w:p>
    <w:p w14:paraId="58000000">
      <w:pPr>
        <w:spacing w:after="0" w:line="240" w:lineRule="auto"/>
        <w:ind w:firstLine="709" w:left="0"/>
        <w:jc w:val="both"/>
        <w:rPr>
          <w:rFonts w:ascii="Times New Roman" w:hAnsi="Times New Roman"/>
          <w:sz w:val="24"/>
        </w:rPr>
      </w:pPr>
    </w:p>
    <w:p w14:paraId="59000000">
      <w:pPr>
        <w:spacing w:after="0" w:line="240" w:lineRule="auto"/>
        <w:ind w:firstLine="709" w:left="0"/>
        <w:jc w:val="both"/>
        <w:rPr>
          <w:rFonts w:ascii="Times New Roman" w:hAnsi="Times New Roman"/>
          <w:sz w:val="24"/>
        </w:rPr>
      </w:pPr>
    </w:p>
    <w:p w14:paraId="5A000000">
      <w:pPr>
        <w:spacing w:line="240" w:lineRule="auto"/>
        <w:ind/>
        <w:rPr>
          <w:rFonts w:ascii="Times New Roman" w:hAnsi="Times New Roman"/>
          <w:sz w:val="24"/>
        </w:rPr>
      </w:pPr>
    </w:p>
    <w:p w14:paraId="5B000000">
      <w:pPr>
        <w:spacing w:line="240" w:lineRule="auto"/>
        <w:ind/>
      </w:pPr>
    </w:p>
    <w:p w14:paraId="5C000000">
      <w:pPr>
        <w:spacing w:line="240" w:lineRule="auto"/>
        <w:ind/>
      </w:pPr>
    </w:p>
    <w:p w14:paraId="5D000000">
      <w:pPr>
        <w:spacing w:line="240" w:lineRule="auto"/>
        <w:ind/>
      </w:pPr>
    </w:p>
    <w:p w14:paraId="5E000000">
      <w:pPr>
        <w:spacing w:line="240" w:lineRule="auto"/>
        <w:ind/>
      </w:pPr>
    </w:p>
    <w:p w14:paraId="5F000000">
      <w:pPr>
        <w:spacing w:line="240" w:lineRule="auto"/>
        <w:ind/>
      </w:pPr>
    </w:p>
    <w:p w14:paraId="60000000">
      <w:pPr>
        <w:spacing w:line="240" w:lineRule="auto"/>
        <w:ind/>
      </w:pPr>
    </w:p>
    <w:p w14:paraId="61000000">
      <w:pPr>
        <w:spacing w:line="240" w:lineRule="auto"/>
        <w:ind/>
      </w:pPr>
    </w:p>
    <w:p w14:paraId="62000000">
      <w:pPr>
        <w:spacing w:line="240" w:lineRule="auto"/>
        <w:ind/>
      </w:pPr>
    </w:p>
    <w:tbl>
      <w:tblPr>
        <w:tblStyle w:val="Style_2"/>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63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4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5000000">
            <w:pPr>
              <w:widowControl w:val="0"/>
              <w:spacing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66000000">
            <w:pPr>
              <w:widowControl w:val="0"/>
              <w:spacing w:line="240" w:lineRule="auto"/>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67000000">
            <w:pPr>
              <w:widowControl w:val="0"/>
              <w:spacing w:line="240" w:lineRule="auto"/>
              <w:ind w:hanging="8079" w:left="8079"/>
              <w:rPr>
                <w:rFonts w:ascii="Times New Roman" w:hAnsi="Times New Roman"/>
                <w:sz w:val="28"/>
              </w:rPr>
            </w:pPr>
            <w:r>
              <w:rPr>
                <w:rFonts w:ascii="Times New Roman" w:hAnsi="Times New Roman"/>
                <w:sz w:val="28"/>
              </w:rPr>
              <w:t>Приложение 2</w:t>
            </w:r>
            <w:r>
              <w:rPr>
                <w:rFonts w:ascii="Times New Roman" w:hAnsi="Times New Roman"/>
                <w:sz w:val="28"/>
              </w:rPr>
              <w:t xml:space="preserve"> к постановлению</w:t>
            </w:r>
          </w:p>
        </w:tc>
      </w:tr>
      <w:tr>
        <w:tc>
          <w:tcPr>
            <w:tcW w:type="dxa" w:w="480"/>
            <w:tcBorders>
              <w:top w:sz="4" w:val="nil"/>
              <w:left w:sz="4" w:val="nil"/>
              <w:bottom w:sz="4" w:val="nil"/>
              <w:right w:sz="4" w:val="nil"/>
            </w:tcBorders>
          </w:tcPr>
          <w:p w14:paraId="68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9000000">
            <w:pPr>
              <w:widowControl w:val="0"/>
              <w:spacing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A000000">
            <w:pPr>
              <w:widowControl w:val="0"/>
              <w:spacing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6B000000">
            <w:pPr>
              <w:widowControl w:val="0"/>
              <w:spacing w:line="240" w:lineRule="auto"/>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6C000000">
            <w:pPr>
              <w:widowControl w:val="0"/>
              <w:spacing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6D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E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6F000000">
            <w:pPr>
              <w:spacing w:after="60" w:line="240" w:lineRule="auto"/>
              <w:ind w:hanging="8079" w:left="8079"/>
              <w:jc w:val="right"/>
              <w:rPr>
                <w:rFonts w:ascii="Times New Roman" w:hAnsi="Times New Roman"/>
                <w:sz w:val="28"/>
              </w:rPr>
            </w:pPr>
          </w:p>
        </w:tc>
        <w:tc>
          <w:tcPr>
            <w:tcW w:type="dxa" w:w="3661"/>
            <w:tcBorders>
              <w:top w:sz="4" w:val="nil"/>
              <w:left w:sz="4" w:val="nil"/>
              <w:bottom w:sz="4" w:val="nil"/>
              <w:right w:sz="4" w:val="nil"/>
            </w:tcBorders>
          </w:tcPr>
          <w:p w14:paraId="70000000">
            <w:pPr>
              <w:spacing w:after="60" w:line="240" w:lineRule="auto"/>
              <w:ind w:hanging="8079" w:left="8079"/>
              <w:jc w:val="right"/>
              <w:rPr>
                <w:rFonts w:ascii="Times New Roman" w:hAnsi="Times New Roman"/>
                <w:sz w:val="28"/>
              </w:rPr>
            </w:pPr>
          </w:p>
        </w:tc>
        <w:tc>
          <w:tcPr>
            <w:tcW w:type="dxa" w:w="480"/>
            <w:tcBorders>
              <w:top w:sz="4" w:val="nil"/>
              <w:left w:sz="4" w:val="nil"/>
              <w:bottom w:sz="4" w:val="nil"/>
              <w:right w:sz="4" w:val="nil"/>
            </w:tcBorders>
          </w:tcPr>
          <w:p w14:paraId="71000000">
            <w:pPr>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72000000">
            <w:pPr>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73000000">
            <w:pPr>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74000000">
            <w:pPr>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75000000">
      <w:pPr>
        <w:spacing w:line="240" w:lineRule="auto"/>
        <w:ind/>
      </w:pPr>
    </w:p>
    <w:p w14:paraId="76000000">
      <w:pPr>
        <w:spacing w:after="0" w:line="240" w:lineRule="auto"/>
        <w:ind w:firstLine="0" w:left="0"/>
        <w:jc w:val="center"/>
        <w:rPr>
          <w:rFonts w:ascii="Times New Roman" w:hAnsi="Times New Roman"/>
          <w:sz w:val="28"/>
        </w:rPr>
      </w:pPr>
      <w:r>
        <w:rPr>
          <w:rFonts w:ascii="Times New Roman" w:hAnsi="Times New Roman"/>
          <w:sz w:val="28"/>
        </w:rPr>
        <w:t>Положение</w:t>
      </w:r>
    </w:p>
    <w:p w14:paraId="77000000">
      <w:pPr>
        <w:spacing w:after="0" w:line="240" w:lineRule="auto"/>
        <w:ind w:firstLine="0" w:left="0"/>
        <w:jc w:val="center"/>
        <w:rPr>
          <w:rFonts w:ascii="Times New Roman" w:hAnsi="Times New Roman"/>
          <w:sz w:val="28"/>
        </w:rPr>
      </w:pPr>
      <w:r>
        <w:rPr>
          <w:rFonts w:ascii="Times New Roman" w:hAnsi="Times New Roman"/>
          <w:sz w:val="28"/>
        </w:rPr>
        <w:t xml:space="preserve">об организации осуществления централизуемых полномочий через краевое государственное </w:t>
      </w:r>
      <w:r>
        <w:rPr>
          <w:rFonts w:ascii="Times New Roman" w:hAnsi="Times New Roman"/>
          <w:sz w:val="28"/>
        </w:rPr>
        <w:t xml:space="preserve">казенное </w:t>
      </w:r>
      <w:r>
        <w:rPr>
          <w:rFonts w:ascii="Times New Roman" w:hAnsi="Times New Roman"/>
          <w:sz w:val="28"/>
        </w:rPr>
        <w:t>учреждение «Центр финансового обеспечения»</w:t>
      </w:r>
      <w:r>
        <w:rPr>
          <w:rFonts w:ascii="Times New Roman" w:hAnsi="Times New Roman"/>
          <w:sz w:val="28"/>
        </w:rPr>
        <w:t xml:space="preserve"> </w:t>
      </w:r>
    </w:p>
    <w:p w14:paraId="78000000">
      <w:pPr>
        <w:spacing w:after="0" w:line="240" w:lineRule="auto"/>
        <w:ind w:firstLine="709" w:left="0"/>
        <w:jc w:val="center"/>
        <w:rPr>
          <w:rFonts w:ascii="Times New Roman" w:hAnsi="Times New Roman"/>
          <w:sz w:val="28"/>
        </w:rPr>
      </w:pPr>
    </w:p>
    <w:p w14:paraId="79000000">
      <w:pPr>
        <w:spacing w:after="0" w:line="240" w:lineRule="auto"/>
        <w:ind w:firstLine="709" w:left="0"/>
        <w:jc w:val="center"/>
        <w:rPr>
          <w:rFonts w:ascii="Times New Roman" w:hAnsi="Times New Roman"/>
          <w:sz w:val="28"/>
        </w:rPr>
      </w:pPr>
    </w:p>
    <w:p w14:paraId="7A000000">
      <w:pPr>
        <w:numPr>
          <w:ilvl w:val="0"/>
          <w:numId w:val="3"/>
        </w:numPr>
        <w:spacing w:after="0" w:line="240" w:lineRule="auto"/>
        <w:ind w:firstLine="709" w:left="0"/>
        <w:contextualSpacing w:val="1"/>
        <w:jc w:val="both"/>
        <w:rPr>
          <w:rFonts w:ascii="Times New Roman" w:hAnsi="Times New Roman"/>
          <w:color w:val="000000"/>
          <w:sz w:val="28"/>
        </w:rPr>
      </w:pPr>
      <w:r>
        <w:rPr>
          <w:rFonts w:ascii="Times New Roman" w:hAnsi="Times New Roman"/>
          <w:sz w:val="28"/>
        </w:rPr>
        <w:t xml:space="preserve">Настоящее Положение устанавливает общие требования к организации осуществления переданных </w:t>
      </w:r>
      <w:r>
        <w:rPr>
          <w:rFonts w:ascii="Times New Roman" w:hAnsi="Times New Roman"/>
          <w:sz w:val="28"/>
        </w:rPr>
        <w:t>М</w:t>
      </w:r>
      <w:r>
        <w:rPr>
          <w:rFonts w:ascii="Times New Roman" w:hAnsi="Times New Roman"/>
          <w:sz w:val="28"/>
        </w:rPr>
        <w:t xml:space="preserve">инистерству финансов </w:t>
      </w:r>
      <w:r>
        <w:rPr>
          <w:rFonts w:ascii="Times New Roman" w:hAnsi="Times New Roman"/>
          <w:sz w:val="28"/>
        </w:rPr>
        <w:t>Камчатского края</w:t>
      </w:r>
      <w:r>
        <w:rPr>
          <w:rFonts w:ascii="Times New Roman" w:hAnsi="Times New Roman"/>
          <w:sz w:val="28"/>
        </w:rPr>
        <w:t xml:space="preserve"> (далее - уполномоченный орган) полномочий </w:t>
      </w:r>
      <w:r>
        <w:rPr>
          <w:rFonts w:ascii="Times New Roman" w:hAnsi="Times New Roman"/>
          <w:color w:val="000000"/>
          <w:sz w:val="28"/>
        </w:rPr>
        <w:t>исполнительных органов</w:t>
      </w:r>
      <w:r>
        <w:rPr>
          <w:rFonts w:ascii="Times New Roman" w:hAnsi="Times New Roman"/>
          <w:color w:val="000000"/>
          <w:sz w:val="28"/>
        </w:rPr>
        <w:t xml:space="preserve"> Камчатского края</w:t>
      </w:r>
      <w:r>
        <w:rPr>
          <w:rFonts w:ascii="Times New Roman" w:hAnsi="Times New Roman"/>
          <w:color w:val="000000"/>
          <w:sz w:val="28"/>
        </w:rPr>
        <w:t xml:space="preserve">, </w:t>
      </w:r>
      <w:r>
        <w:rPr>
          <w:rFonts w:ascii="Times New Roman" w:hAnsi="Times New Roman"/>
          <w:color w:val="000000"/>
          <w:sz w:val="28"/>
        </w:rPr>
        <w:t xml:space="preserve">краевых </w:t>
      </w:r>
      <w:r>
        <w:rPr>
          <w:rFonts w:ascii="Times New Roman" w:hAnsi="Times New Roman"/>
          <w:color w:val="000000"/>
          <w:sz w:val="28"/>
        </w:rPr>
        <w:t xml:space="preserve">казенных учреждений </w:t>
      </w:r>
      <w:r>
        <w:rPr>
          <w:rFonts w:ascii="Times New Roman" w:hAnsi="Times New Roman"/>
          <w:sz w:val="28"/>
        </w:rPr>
        <w:t xml:space="preserve">(далее - субъекты централизованного учета)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(далее - централизуемые полномочия) через </w:t>
      </w:r>
      <w:r>
        <w:rPr>
          <w:rFonts w:ascii="Times New Roman" w:hAnsi="Times New Roman"/>
          <w:sz w:val="28"/>
        </w:rPr>
        <w:t xml:space="preserve">краевое государственное казенное учреждение «Центр финансового обеспечения» </w:t>
      </w:r>
      <w:r>
        <w:rPr>
          <w:rFonts w:ascii="Times New Roman" w:hAnsi="Times New Roman"/>
          <w:sz w:val="28"/>
        </w:rPr>
        <w:t>(далее - уполномоченная организация).</w:t>
      </w:r>
      <w:r>
        <w:rPr>
          <w:rFonts w:ascii="Times New Roman" w:hAnsi="Times New Roman"/>
          <w:sz w:val="28"/>
        </w:rPr>
        <w:t xml:space="preserve"> </w:t>
      </w:r>
    </w:p>
    <w:p w14:paraId="7B000000">
      <w:pPr>
        <w:numPr>
          <w:ilvl w:val="0"/>
          <w:numId w:val="3"/>
        </w:num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Выполнение уполномоченным органом и уполномоченной организацией централизуемых полномочий обеспечивается с использованием государственной информационной системы </w:t>
      </w:r>
      <w:r>
        <w:rPr>
          <w:rFonts w:ascii="Times New Roman" w:hAnsi="Times New Roman"/>
          <w:color w:val="000000"/>
          <w:sz w:val="28"/>
        </w:rPr>
        <w:t>Камчатского края «Централизованная информационная система бюджетного (бухгалтерского) учета»</w:t>
      </w:r>
      <w:r>
        <w:rPr>
          <w:rFonts w:ascii="Times New Roman" w:hAnsi="Times New Roman"/>
          <w:color w:val="000000"/>
          <w:sz w:val="28"/>
        </w:rPr>
        <w:t xml:space="preserve"> (далее – ГИС ЦИСБУ).</w:t>
      </w:r>
    </w:p>
    <w:p w14:paraId="7C000000">
      <w:pPr>
        <w:numPr>
          <w:ilvl w:val="0"/>
          <w:numId w:val="3"/>
        </w:num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Порядок организации осуществления уполномоченной организацией централизуемых полномочий регламентируется документами единой учетной политики, </w:t>
      </w:r>
      <w:r>
        <w:rPr>
          <w:rFonts w:ascii="Times New Roman" w:hAnsi="Times New Roman"/>
          <w:color w:val="000000"/>
          <w:sz w:val="28"/>
        </w:rPr>
        <w:t xml:space="preserve">утвержденной уполномоченным органом (далее - единая учетная политика). </w:t>
      </w:r>
    </w:p>
    <w:p w14:paraId="7D00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Уполномоченная организация обеспечивает применение единых методов и способов ведения </w:t>
      </w:r>
      <w:r>
        <w:rPr>
          <w:rFonts w:ascii="Times New Roman" w:hAnsi="Times New Roman"/>
          <w:color w:val="000000"/>
          <w:sz w:val="28"/>
        </w:rPr>
        <w:t>бюджетного (</w:t>
      </w:r>
      <w:r>
        <w:rPr>
          <w:rFonts w:ascii="Times New Roman" w:hAnsi="Times New Roman"/>
          <w:color w:val="000000"/>
          <w:sz w:val="28"/>
        </w:rPr>
        <w:t>бухгалтерского</w:t>
      </w:r>
      <w:r>
        <w:rPr>
          <w:rFonts w:ascii="Times New Roman" w:hAnsi="Times New Roman"/>
          <w:color w:val="000000"/>
          <w:sz w:val="28"/>
        </w:rPr>
        <w:t>)</w:t>
      </w:r>
      <w:r>
        <w:rPr>
          <w:rFonts w:ascii="Times New Roman" w:hAnsi="Times New Roman"/>
          <w:color w:val="000000"/>
          <w:sz w:val="28"/>
        </w:rPr>
        <w:t xml:space="preserve"> учета, установленных с соблюдением требований законодательств</w:t>
      </w:r>
      <w:r>
        <w:rPr>
          <w:rFonts w:ascii="Times New Roman" w:hAnsi="Times New Roman"/>
          <w:sz w:val="28"/>
        </w:rPr>
        <w:t xml:space="preserve">а Российской Федерации (федеральных стандартов бухгалтерского учета государственных финансов) </w:t>
      </w:r>
      <w:r>
        <w:rPr>
          <w:rFonts w:ascii="Times New Roman" w:hAnsi="Times New Roman"/>
          <w:color w:val="000000"/>
          <w:sz w:val="28"/>
        </w:rPr>
        <w:t xml:space="preserve">в </w:t>
      </w:r>
      <w:r>
        <w:rPr>
          <w:rFonts w:ascii="Times New Roman" w:hAnsi="Times New Roman"/>
          <w:color w:val="000000"/>
          <w:sz w:val="28"/>
        </w:rPr>
        <w:t>рамках единой учетной политики</w:t>
      </w:r>
      <w:r>
        <w:rPr>
          <w:rFonts w:ascii="Times New Roman" w:hAnsi="Times New Roman"/>
          <w:color w:val="000000"/>
          <w:sz w:val="28"/>
        </w:rPr>
        <w:t xml:space="preserve">. </w:t>
      </w:r>
    </w:p>
    <w:p w14:paraId="7E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Уполномоченная организация осуществляет обработку персональных данных, полученных от субъектов централизованного учета, в целях реализации централизуемых полномочий с соблюдением требований законодательства Российской Федерации в области обработки персональных данных, связанных в том числе с соблюдением конфиденциальности персональных данных и обеспечением их безопасности.</w:t>
      </w:r>
    </w:p>
    <w:p w14:paraId="7F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Уполномоченная организация обеспечивает соблюдение требований законодательства Российской Федерации, связанных с защитой сведений, составляющих государственную тайну, а также иной информации с ограниченным доступом, при работе с документами (сведениями), содержащими указанные сведения и информацию.</w:t>
      </w:r>
    </w:p>
    <w:p w14:paraId="80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Взаимодействие уполномоченной организации с Федеральной налоговой службой, Федеральной службой государственной статистики, внебюджетными фондами Российской Федерации и иными государственными органами осуществляется в соответствии с законодательством Российской Федерации от имени субъекта централизованного учета.</w:t>
      </w:r>
      <w:r>
        <w:rPr>
          <w:rFonts w:ascii="Times New Roman" w:hAnsi="Times New Roman"/>
          <w:sz w:val="28"/>
        </w:rPr>
        <w:t xml:space="preserve"> </w:t>
      </w:r>
    </w:p>
    <w:p w14:paraId="81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Взаимодействие между уполномоченной организацией и субъектами централизованного учета по обеспечению документального оформления фактов хозяйственной жизни, представления (получения) документов (сведений), необходимых для осуществления централизуемых полномочий, а также по представлению субъектам централизованного учета документов (сведений), сформированных (используемых) при осуществлении централизуемых полномочий, организуется в соответствии с правилами документооборота, установленными единой учетной политикой.</w:t>
      </w:r>
      <w:r>
        <w:rPr>
          <w:rFonts w:ascii="Times New Roman" w:hAnsi="Times New Roman"/>
          <w:sz w:val="28"/>
        </w:rPr>
        <w:t xml:space="preserve"> </w:t>
      </w:r>
    </w:p>
    <w:p w14:paraId="82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Субъекты централизованного учета осуществляют хранение оригиналов первичных учетных документов в соответствии с установленными правилами государственного архивного дела.</w:t>
      </w:r>
    </w:p>
    <w:p w14:paraId="83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Субъекты централизованного учета несут ответственность за:</w:t>
      </w:r>
    </w:p>
    <w:p w14:paraId="84000000">
      <w:pPr>
        <w:spacing w:after="0" w:line="240" w:lineRule="auto"/>
        <w:ind w:firstLine="709"/>
        <w:jc w:val="both"/>
        <w:rPr>
          <w:rFonts w:ascii="Times New Roman" w:hAnsi="Times New Roman"/>
          <w:sz w:val="28"/>
        </w:rPr>
      </w:pPr>
      <w:r>
        <w:rPr>
          <w:rFonts w:ascii="Times New Roman" w:hAnsi="Times New Roman"/>
          <w:sz w:val="28"/>
        </w:rPr>
        <w:t>1) законность совершаемых хозяйственных операций;</w:t>
      </w:r>
    </w:p>
    <w:p w14:paraId="85000000">
      <w:pPr>
        <w:spacing w:after="0" w:line="240" w:lineRule="auto"/>
        <w:ind w:firstLine="709"/>
        <w:jc w:val="both"/>
        <w:rPr>
          <w:rFonts w:ascii="Times New Roman" w:hAnsi="Times New Roman"/>
          <w:sz w:val="28"/>
        </w:rPr>
      </w:pPr>
      <w:r>
        <w:rPr>
          <w:rFonts w:ascii="Times New Roman" w:hAnsi="Times New Roman"/>
          <w:sz w:val="28"/>
        </w:rPr>
        <w:t>2) своевременное представление в уполномоченную организацию первичных учетных документов, необходимых для исполнения централизуемых полномочий, в сроки, установленные положениями единой учетной политики;</w:t>
      </w:r>
    </w:p>
    <w:p w14:paraId="86000000">
      <w:pPr>
        <w:spacing w:after="0" w:line="240" w:lineRule="auto"/>
        <w:ind w:firstLine="709"/>
        <w:jc w:val="both"/>
        <w:rPr>
          <w:rFonts w:ascii="Times New Roman" w:hAnsi="Times New Roman"/>
          <w:sz w:val="28"/>
        </w:rPr>
      </w:pPr>
      <w:r>
        <w:rPr>
          <w:rFonts w:ascii="Times New Roman" w:hAnsi="Times New Roman"/>
          <w:sz w:val="28"/>
        </w:rPr>
        <w:t>3) достоверность передаваемых документов (сведений);</w:t>
      </w:r>
    </w:p>
    <w:p w14:paraId="87000000">
      <w:pPr>
        <w:spacing w:after="0" w:line="240" w:lineRule="auto"/>
        <w:ind w:firstLine="709"/>
        <w:jc w:val="both"/>
        <w:rPr>
          <w:rFonts w:ascii="Times New Roman" w:hAnsi="Times New Roman"/>
          <w:sz w:val="28"/>
        </w:rPr>
      </w:pPr>
      <w:r>
        <w:rPr>
          <w:rFonts w:ascii="Times New Roman" w:hAnsi="Times New Roman"/>
          <w:sz w:val="28"/>
        </w:rPr>
        <w:t>4) надлежащее оформление и составление первичных учетных документов;</w:t>
      </w:r>
    </w:p>
    <w:p w14:paraId="88000000">
      <w:pPr>
        <w:spacing w:after="0" w:line="240" w:lineRule="auto"/>
        <w:ind w:firstLine="709"/>
        <w:jc w:val="both"/>
        <w:rPr>
          <w:rFonts w:ascii="Times New Roman" w:hAnsi="Times New Roman"/>
          <w:sz w:val="28"/>
        </w:rPr>
      </w:pPr>
      <w:r>
        <w:rPr>
          <w:rFonts w:ascii="Times New Roman" w:hAnsi="Times New Roman"/>
          <w:sz w:val="28"/>
        </w:rPr>
        <w:t>5) идентичность электронных образов документов (сведений) (скан-образов), переданных уполномоченной организации, оригиналам первичных учетных документов на бумажном носителе;</w:t>
      </w:r>
    </w:p>
    <w:p w14:paraId="89000000">
      <w:pPr>
        <w:spacing w:after="0" w:line="240" w:lineRule="auto"/>
        <w:ind w:firstLine="709"/>
        <w:jc w:val="both"/>
        <w:rPr>
          <w:rFonts w:ascii="Times New Roman" w:hAnsi="Times New Roman"/>
          <w:sz w:val="28"/>
        </w:rPr>
      </w:pPr>
      <w:r>
        <w:rPr>
          <w:rFonts w:ascii="Times New Roman" w:hAnsi="Times New Roman"/>
          <w:sz w:val="28"/>
        </w:rPr>
        <w:t xml:space="preserve">6) полноту и достоверность персональных данных, содержащихся в </w:t>
      </w:r>
      <w:r>
        <w:rPr>
          <w:rFonts w:ascii="Times New Roman" w:hAnsi="Times New Roman"/>
          <w:sz w:val="28"/>
        </w:rPr>
        <w:t xml:space="preserve">первичных документах в </w:t>
      </w:r>
      <w:r>
        <w:rPr>
          <w:rFonts w:ascii="Times New Roman" w:hAnsi="Times New Roman"/>
          <w:color w:val="000000"/>
          <w:sz w:val="28"/>
        </w:rPr>
        <w:t>ГИС ЦИСБУ</w:t>
      </w:r>
      <w:r>
        <w:rPr>
          <w:rFonts w:ascii="Times New Roman" w:hAnsi="Times New Roman"/>
          <w:color w:val="000000"/>
          <w:sz w:val="28"/>
        </w:rPr>
        <w:t>.</w:t>
      </w:r>
    </w:p>
    <w:p w14:paraId="8A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Уполномоченная организация несет ответственность за:</w:t>
      </w:r>
    </w:p>
    <w:p w14:paraId="8B000000">
      <w:pPr>
        <w:spacing w:after="0" w:line="240" w:lineRule="auto"/>
        <w:ind w:firstLine="709"/>
        <w:jc w:val="both"/>
        <w:rPr>
          <w:rFonts w:ascii="Times New Roman" w:hAnsi="Times New Roman"/>
          <w:sz w:val="28"/>
        </w:rPr>
      </w:pPr>
      <w:r>
        <w:rPr>
          <w:rFonts w:ascii="Times New Roman" w:hAnsi="Times New Roman"/>
          <w:sz w:val="28"/>
        </w:rPr>
        <w:t>1) неисполнение или ненадлежащее исполнение централизуемых полномочий;</w:t>
      </w:r>
    </w:p>
    <w:p w14:paraId="8C000000">
      <w:pPr>
        <w:spacing w:after="0" w:line="240" w:lineRule="auto"/>
        <w:ind w:firstLine="709"/>
        <w:jc w:val="both"/>
        <w:rPr>
          <w:rFonts w:ascii="Times New Roman" w:hAnsi="Times New Roman"/>
          <w:sz w:val="28"/>
        </w:rPr>
      </w:pPr>
      <w:r>
        <w:rPr>
          <w:rFonts w:ascii="Times New Roman" w:hAnsi="Times New Roman"/>
          <w:sz w:val="28"/>
        </w:rPr>
        <w:t>2) несоблюдение требований, установленных законодательством Российской Федерации в области обработки персональных данных, связанных в том числе с соблюдением конфиденциальности персональных данных и обеспечением их безопасности.</w:t>
      </w:r>
    </w:p>
    <w:p w14:paraId="8D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Субъекты централизованного учета обеспечивают своевременную передачу уполномоченной организации первичных учетных документов для регистрации содержащихся в них данных в регистрах бухгалтерского учета, а также достоверность этих данных. </w:t>
      </w:r>
    </w:p>
    <w:p w14:paraId="8E000000">
      <w:pPr>
        <w:spacing w:after="0" w:line="240" w:lineRule="auto"/>
        <w:ind w:firstLine="709" w:left="0"/>
        <w:jc w:val="both"/>
        <w:rPr>
          <w:rFonts w:ascii="Times New Roman" w:hAnsi="Times New Roman"/>
          <w:sz w:val="28"/>
        </w:rPr>
      </w:pPr>
      <w:r>
        <w:rPr>
          <w:rFonts w:ascii="Times New Roman" w:hAnsi="Times New Roman"/>
          <w:sz w:val="28"/>
        </w:rPr>
        <w:t xml:space="preserve">Уполномоченная организация не несет ответственности за соответствие составленных субъектами централизованного учета первичных учетных документов свершившимся фактам хозяйственной жизни. Требования </w:t>
      </w:r>
      <w:r>
        <w:rPr>
          <w:rFonts w:ascii="Times New Roman" w:hAnsi="Times New Roman"/>
          <w:sz w:val="28"/>
        </w:rPr>
        <w:t xml:space="preserve">уполномоченной организации </w:t>
      </w:r>
      <w:r>
        <w:rPr>
          <w:rFonts w:ascii="Times New Roman" w:hAnsi="Times New Roman"/>
          <w:sz w:val="28"/>
        </w:rPr>
        <w:t>о</w:t>
      </w:r>
      <w:r>
        <w:rPr>
          <w:rFonts w:ascii="Times New Roman" w:hAnsi="Times New Roman"/>
          <w:sz w:val="28"/>
        </w:rPr>
        <w:t xml:space="preserve"> соблюдени</w:t>
      </w:r>
      <w:r>
        <w:rPr>
          <w:rFonts w:ascii="Times New Roman" w:hAnsi="Times New Roman"/>
          <w:sz w:val="28"/>
        </w:rPr>
        <w:t>и</w:t>
      </w:r>
      <w:r>
        <w:rPr>
          <w:rFonts w:ascii="Times New Roman" w:hAnsi="Times New Roman"/>
          <w:sz w:val="28"/>
        </w:rPr>
        <w:t xml:space="preserve"> установленного порядка документального оформления фактов хозяйственной жизни, представления документов (сведений), необходимых для ведения бюджетного (бухгалтерского) уч</w:t>
      </w:r>
      <w:r>
        <w:rPr>
          <w:rFonts w:ascii="Times New Roman" w:hAnsi="Times New Roman"/>
          <w:sz w:val="28"/>
        </w:rPr>
        <w:t>ета уполномоченной организацией</w:t>
      </w:r>
      <w:r>
        <w:rPr>
          <w:rFonts w:ascii="Times New Roman" w:hAnsi="Times New Roman"/>
          <w:sz w:val="28"/>
        </w:rPr>
        <w:t xml:space="preserve"> </w:t>
      </w:r>
      <w:r>
        <w:rPr>
          <w:rFonts w:ascii="Times New Roman" w:hAnsi="Times New Roman"/>
          <w:sz w:val="28"/>
        </w:rPr>
        <w:t>обязательны для субъектов централизованного учета.</w:t>
      </w:r>
      <w:r>
        <w:rPr>
          <w:rFonts w:ascii="Times New Roman" w:hAnsi="Times New Roman"/>
          <w:sz w:val="28"/>
        </w:rPr>
        <w:t xml:space="preserve"> </w:t>
      </w:r>
    </w:p>
    <w:p w14:paraId="8F000000">
      <w:pPr>
        <w:numPr>
          <w:ilvl w:val="0"/>
          <w:numId w:val="3"/>
        </w:num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возникновения разногласий в отношении ведения бюджетного (бухгалтерского) учета между руководителем субъекта централизованного учета и уполномоченной организацией:</w:t>
      </w:r>
    </w:p>
    <w:p w14:paraId="90000000">
      <w:pPr>
        <w:spacing w:after="0" w:line="240" w:lineRule="auto"/>
        <w:ind w:firstLine="709"/>
        <w:jc w:val="both"/>
        <w:rPr>
          <w:rFonts w:ascii="Times New Roman" w:hAnsi="Times New Roman"/>
          <w:sz w:val="28"/>
        </w:rPr>
      </w:pPr>
      <w:r>
        <w:rPr>
          <w:rFonts w:ascii="Times New Roman" w:hAnsi="Times New Roman"/>
          <w:sz w:val="28"/>
        </w:rPr>
        <w:t>1) данные, содержащиеся в первичном учетном документе, принимаются (не принимаются) уполномоченной организацией к регистрации и накоплению в регистрах бюджетного (бухгалтерского) учета по письменному распоряжению руководителя субъекта централизованного учета, который единолично несет ответственность за созданную в результате этого информацию;</w:t>
      </w:r>
    </w:p>
    <w:p w14:paraId="91000000">
      <w:pPr>
        <w:spacing w:after="0" w:line="240" w:lineRule="auto"/>
        <w:ind w:firstLine="709"/>
        <w:jc w:val="both"/>
        <w:rPr>
          <w:rFonts w:ascii="Times New Roman" w:hAnsi="Times New Roman"/>
          <w:sz w:val="28"/>
        </w:rPr>
      </w:pPr>
      <w:r>
        <w:rPr>
          <w:rFonts w:ascii="Times New Roman" w:hAnsi="Times New Roman"/>
          <w:sz w:val="28"/>
        </w:rPr>
        <w:t>2) объект бюджетного (бухгалтерского) учета отражается (не отражается) уполномоченной организацией в бюджетной (бухгалтерской) отчетности на основании письменного решения руководителя субъекта централизованного учета, который единолично несет ответственность за достоверность представления финансового положения субъекта централизованного учета на отчетную дату, финансового результата его деятельности и движения денежных средств за отчетный период.</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Реализация централизуемых полномочий осуществляется в пределах бюджетных ассигнований, предусмотренных в </w:t>
      </w:r>
      <w:r>
        <w:rPr>
          <w:rFonts w:ascii="Times New Roman" w:hAnsi="Times New Roman"/>
          <w:sz w:val="28"/>
        </w:rPr>
        <w:t>краевом</w:t>
      </w:r>
      <w:r>
        <w:rPr>
          <w:rFonts w:ascii="Times New Roman" w:hAnsi="Times New Roman"/>
          <w:sz w:val="28"/>
        </w:rPr>
        <w:t xml:space="preserve"> бюджете на финансовое обеспечение деятельности уполномоченн</w:t>
      </w:r>
      <w:r>
        <w:rPr>
          <w:rFonts w:ascii="Times New Roman" w:hAnsi="Times New Roman"/>
          <w:sz w:val="28"/>
        </w:rPr>
        <w:t>ой</w:t>
      </w:r>
      <w:r>
        <w:rPr>
          <w:rFonts w:ascii="Times New Roman" w:hAnsi="Times New Roman"/>
          <w:sz w:val="28"/>
        </w:rPr>
        <w:t xml:space="preserve"> организаци</w:t>
      </w:r>
      <w:r>
        <w:rPr>
          <w:rFonts w:ascii="Times New Roman" w:hAnsi="Times New Roman"/>
          <w:sz w:val="28"/>
        </w:rPr>
        <w:t>и</w:t>
      </w:r>
      <w:r>
        <w:rPr>
          <w:rFonts w:ascii="Times New Roman" w:hAnsi="Times New Roman"/>
          <w:sz w:val="28"/>
        </w:rPr>
        <w:t>.</w:t>
      </w:r>
    </w:p>
    <w:p w14:paraId="93000000">
      <w:pPr>
        <w:spacing w:line="240" w:lineRule="auto"/>
        <w:ind/>
      </w:pPr>
    </w:p>
    <w:sectPr>
      <w:headerReference r:id="rId1" w:type="defaul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Обычный1"/>
    <w:link w:val="Style_6_ch"/>
  </w:style>
  <w:style w:styleId="Style_6_ch" w:type="character">
    <w:name w:val="Обычный1"/>
    <w:link w:val="Style_6"/>
  </w:style>
  <w:style w:styleId="Style_7" w:type="paragraph">
    <w:name w:val="toc 6"/>
    <w:next w:val="Style_3"/>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pPr>
    <w:rPr>
      <w:rFonts w:ascii="XO Thames" w:hAnsi="XO Thames"/>
      <w:sz w:val="28"/>
    </w:rPr>
  </w:style>
  <w:style w:styleId="Style_8_ch" w:type="character">
    <w:name w:val="toc 7"/>
    <w:link w:val="Style_8"/>
    <w:rPr>
      <w:rFonts w:ascii="XO Thames" w:hAnsi="XO Thames"/>
      <w:sz w:val="28"/>
    </w:rPr>
  </w:style>
  <w:style w:styleId="Style_9" w:type="paragraph">
    <w:name w:val="Plain Text"/>
    <w:basedOn w:val="Style_3"/>
    <w:link w:val="Style_9_ch"/>
    <w:pPr>
      <w:spacing w:after="0" w:line="240" w:lineRule="auto"/>
      <w:ind/>
    </w:pPr>
    <w:rPr>
      <w:rFonts w:ascii="Calibri" w:hAnsi="Calibri"/>
    </w:rPr>
  </w:style>
  <w:style w:styleId="Style_9_ch" w:type="character">
    <w:name w:val="Plain Text"/>
    <w:basedOn w:val="Style_3_ch"/>
    <w:link w:val="Style_9"/>
    <w:rPr>
      <w:rFonts w:ascii="Calibri" w:hAnsi="Calibri"/>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3"/>
    <w:link w:val="Style_11_ch"/>
    <w:uiPriority w:val="39"/>
    <w:pPr>
      <w:ind w:firstLine="0" w:left="400"/>
    </w:pPr>
    <w:rPr>
      <w:rFonts w:ascii="XO Thames" w:hAnsi="XO Thames"/>
      <w:sz w:val="28"/>
    </w:rPr>
  </w:style>
  <w:style w:styleId="Style_11_ch" w:type="character">
    <w:name w:val="toc 3"/>
    <w:link w:val="Style_11"/>
    <w:rPr>
      <w:rFonts w:ascii="XO Thames" w:hAnsi="XO Thames"/>
      <w:sz w:val="28"/>
    </w:rPr>
  </w:style>
  <w:style w:styleId="Style_12" w:type="paragraph">
    <w:name w:val="Гиперссылка1"/>
    <w:basedOn w:val="Style_13"/>
    <w:link w:val="Style_12_ch"/>
    <w:rPr>
      <w:color w:themeColor="hyperlink" w:val="0563C1"/>
      <w:u w:val="single"/>
    </w:rPr>
  </w:style>
  <w:style w:styleId="Style_12_ch" w:type="character">
    <w:name w:val="Гиперссылка1"/>
    <w:basedOn w:val="Style_13_ch"/>
    <w:link w:val="Style_12"/>
    <w:rPr>
      <w:color w:themeColor="hyperlink" w:val="0563C1"/>
      <w:u w:val="single"/>
    </w:rPr>
  </w:style>
  <w:style w:styleId="Style_14" w:type="paragraph">
    <w:name w:val="heading 5"/>
    <w:next w:val="Style_3"/>
    <w:link w:val="Style_14_ch"/>
    <w:uiPriority w:val="9"/>
    <w:qFormat/>
    <w:pPr>
      <w:spacing w:after="120" w:before="120"/>
      <w:ind/>
      <w:jc w:val="both"/>
      <w:outlineLvl w:val="4"/>
    </w:pPr>
    <w:rPr>
      <w:rFonts w:ascii="XO Thames" w:hAnsi="XO Thames"/>
      <w:b w:val="1"/>
    </w:rPr>
  </w:style>
  <w:style w:styleId="Style_14_ch" w:type="character">
    <w:name w:val="heading 5"/>
    <w:link w:val="Style_14"/>
    <w:rPr>
      <w:rFonts w:ascii="XO Thames" w:hAnsi="XO Thames"/>
      <w:b w:val="1"/>
    </w:rPr>
  </w:style>
  <w:style w:styleId="Style_15" w:type="paragraph">
    <w:name w:val="footer"/>
    <w:basedOn w:val="Style_3"/>
    <w:link w:val="Style_15_ch"/>
    <w:pPr>
      <w:tabs>
        <w:tab w:leader="none" w:pos="4677" w:val="center"/>
        <w:tab w:leader="none" w:pos="9355" w:val="right"/>
      </w:tabs>
      <w:spacing w:after="0" w:line="240" w:lineRule="auto"/>
      <w:ind/>
    </w:pPr>
    <w:rPr>
      <w:rFonts w:ascii="Times New Roman" w:hAnsi="Times New Roman"/>
      <w:sz w:val="28"/>
    </w:rPr>
  </w:style>
  <w:style w:styleId="Style_15_ch" w:type="character">
    <w:name w:val="footer"/>
    <w:basedOn w:val="Style_3_ch"/>
    <w:link w:val="Style_15"/>
    <w:rPr>
      <w:rFonts w:ascii="Times New Roman" w:hAnsi="Times New Roman"/>
      <w:sz w:val="28"/>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Default Paragraph Font"/>
    <w:link w:val="Style_17_ch"/>
  </w:style>
  <w:style w:styleId="Style_17_ch" w:type="character">
    <w:name w:val="Default Paragraph Font"/>
    <w:link w:val="Style_17"/>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rPr>
  </w:style>
  <w:style w:styleId="Style_19_ch" w:type="character">
    <w:name w:val="Footnote"/>
    <w:link w:val="Style_19"/>
    <w:rPr>
      <w:rFonts w:ascii="XO Thames" w:hAnsi="XO Thames"/>
    </w:rPr>
  </w:style>
  <w:style w:styleId="Style_20" w:type="paragraph">
    <w:name w:val="toc 1"/>
    <w:next w:val="Style_3"/>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header"/>
    <w:basedOn w:val="Style_3"/>
    <w:link w:val="Style_23_ch"/>
    <w:pPr>
      <w:tabs>
        <w:tab w:leader="none" w:pos="4677" w:val="center"/>
        <w:tab w:leader="none" w:pos="9355" w:val="right"/>
      </w:tabs>
      <w:spacing w:after="0" w:line="240" w:lineRule="auto"/>
      <w:ind/>
    </w:pPr>
  </w:style>
  <w:style w:styleId="Style_23_ch" w:type="character">
    <w:name w:val="header"/>
    <w:basedOn w:val="Style_3_ch"/>
    <w:link w:val="Style_23"/>
  </w:style>
  <w:style w:styleId="Style_13" w:type="paragraph">
    <w:name w:val="Основной шрифт абзаца1"/>
    <w:link w:val="Style_13_ch"/>
  </w:style>
  <w:style w:styleId="Style_13_ch" w:type="character">
    <w:name w:val="Основной шрифт абзаца1"/>
    <w:link w:val="Style_13"/>
  </w:style>
  <w:style w:styleId="Style_24" w:type="paragraph">
    <w:name w:val="toc 8"/>
    <w:next w:val="Style_3"/>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Balloon Text"/>
    <w:basedOn w:val="Style_3"/>
    <w:link w:val="Style_26_ch"/>
    <w:pPr>
      <w:spacing w:after="0" w:line="240" w:lineRule="auto"/>
      <w:ind/>
    </w:pPr>
    <w:rPr>
      <w:rFonts w:ascii="Segoe UI" w:hAnsi="Segoe UI"/>
      <w:sz w:val="18"/>
    </w:rPr>
  </w:style>
  <w:style w:styleId="Style_26_ch" w:type="character">
    <w:name w:val="Balloon Text"/>
    <w:basedOn w:val="Style_3_ch"/>
    <w:link w:val="Style_26"/>
    <w:rPr>
      <w:rFonts w:ascii="Segoe UI" w:hAnsi="Segoe UI"/>
      <w:sz w:val="18"/>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 w:styleId="Style_31"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2023-10-09T02:19:02Z</dcterms:modified>
</cp:coreProperties>
</file>