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hanging="0" w:left="5528" w:right="0"/>
        <w:jc w:val="right"/>
        <w:rPr>
          <w:highlight w:val="none"/>
          <w:shd w:fill="auto" w:val="clear"/>
        </w:rPr>
      </w:pPr>
      <w:r>
        <w:rPr>
          <w:rFonts w:ascii="Times New Roman" w:hAnsi="Times New Roman"/>
          <w:b w:val="false"/>
          <w:sz w:val="28"/>
          <w:shd w:fill="auto" w:val="clear"/>
        </w:rPr>
        <w:t>Приложение к письму Минэкономразвития Камчатского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  <w:highlight w:val="none"/>
          <w:shd w:fill="auto" w:val="clear"/>
        </w:rPr>
      </w:pPr>
      <w:r>
        <w:rPr>
          <w:rFonts w:ascii="Times New Roman" w:hAnsi="Times New Roman"/>
          <w:b/>
          <w:sz w:val="28"/>
          <w:shd w:fill="auto" w:val="clea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  <w:highlight w:val="none"/>
          <w:shd w:fill="auto" w:val="clear"/>
        </w:rPr>
      </w:pPr>
      <w:r>
        <w:rPr>
          <w:rFonts w:ascii="Times New Roman" w:hAnsi="Times New Roman"/>
          <w:b/>
          <w:sz w:val="28"/>
          <w:shd w:fill="auto" w:val="clear"/>
        </w:rPr>
      </w:r>
    </w:p>
    <w:p>
      <w:pPr>
        <w:pStyle w:val="Normal"/>
        <w:spacing w:lineRule="auto" w:line="240" w:before="0" w:after="0"/>
        <w:jc w:val="center"/>
        <w:rPr>
          <w:highlight w:val="none"/>
          <w:shd w:fill="auto" w:val="clear"/>
        </w:rPr>
      </w:pPr>
      <w:r>
        <w:rPr>
          <w:rFonts w:ascii="Times New Roman" w:hAnsi="Times New Roman"/>
          <w:b/>
          <w:sz w:val="28"/>
          <w:shd w:fill="auto" w:val="clear"/>
        </w:rPr>
        <w:t>Информация</w:t>
      </w:r>
    </w:p>
    <w:p>
      <w:pPr>
        <w:pStyle w:val="Normal"/>
        <w:spacing w:lineRule="auto" w:line="240" w:before="0" w:after="0"/>
        <w:jc w:val="center"/>
        <w:rPr>
          <w:highlight w:val="none"/>
          <w:shd w:fill="auto" w:val="clear"/>
        </w:rPr>
      </w:pPr>
      <w:r>
        <w:rPr>
          <w:rFonts w:ascii="Times New Roman" w:hAnsi="Times New Roman"/>
          <w:b/>
          <w:sz w:val="28"/>
          <w:shd w:fill="auto" w:val="clear"/>
        </w:rPr>
        <w:t>об итогах социально-экономического развития Камчатского края</w:t>
      </w:r>
    </w:p>
    <w:p>
      <w:pPr>
        <w:pStyle w:val="Normal"/>
        <w:spacing w:lineRule="auto" w:line="240" w:before="0" w:after="0"/>
        <w:jc w:val="center"/>
        <w:rPr>
          <w:highlight w:val="none"/>
          <w:shd w:fill="auto" w:val="clear"/>
        </w:rPr>
      </w:pPr>
      <w:r>
        <w:rPr>
          <w:rFonts w:ascii="Times New Roman" w:hAnsi="Times New Roman"/>
          <w:b/>
          <w:sz w:val="28"/>
          <w:shd w:fill="auto" w:val="clear"/>
        </w:rPr>
        <w:t>за январь-февраль 2024 года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</w:r>
    </w:p>
    <w:p>
      <w:pPr>
        <w:pStyle w:val="Normal"/>
        <w:spacing w:lineRule="auto" w:line="240" w:before="0" w:after="0"/>
        <w:ind w:firstLine="709" w:left="0" w:right="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В январе-феврал</w:t>
      </w:r>
      <w:r>
        <w:rPr>
          <w:rFonts w:ascii="Times New Roman" w:hAnsi="Times New Roman"/>
          <w:sz w:val="28"/>
          <w:shd w:fill="auto" w:val="clear"/>
        </w:rPr>
        <w:t>е</w:t>
      </w:r>
      <w:r>
        <w:rPr>
          <w:rFonts w:ascii="Times New Roman" w:hAnsi="Times New Roman"/>
          <w:sz w:val="28"/>
          <w:shd w:fill="auto" w:val="clear"/>
        </w:rPr>
        <w:t xml:space="preserve"> 2024 года динамику роста показали: индекс промышленного производства; объем платных услуг населению; оборот розничной торговли; грузооборот и пассажирооборот автомобильного транспорта.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 xml:space="preserve">Вместе с тем, наблюдается снижение </w:t>
      </w:r>
      <w:r>
        <w:rPr>
          <w:rFonts w:ascii="Times New Roman" w:hAnsi="Times New Roman"/>
          <w:sz w:val="28"/>
          <w:shd w:fill="auto" w:val="clear"/>
        </w:rPr>
        <w:t xml:space="preserve">в </w:t>
      </w:r>
      <w:r>
        <w:rPr>
          <w:rFonts w:ascii="Times New Roman" w:hAnsi="Times New Roman"/>
          <w:sz w:val="28"/>
          <w:shd w:fill="auto" w:val="clear"/>
        </w:rPr>
        <w:t>водоснабжени</w:t>
      </w:r>
      <w:r>
        <w:rPr>
          <w:rFonts w:ascii="Times New Roman" w:hAnsi="Times New Roman"/>
          <w:sz w:val="28"/>
          <w:shd w:fill="auto" w:val="clear"/>
        </w:rPr>
        <w:t>и</w:t>
      </w:r>
      <w:r>
        <w:rPr>
          <w:rFonts w:ascii="Times New Roman" w:hAnsi="Times New Roman"/>
          <w:sz w:val="28"/>
          <w:shd w:fill="auto" w:val="clear"/>
        </w:rPr>
        <w:t>; водоотведени</w:t>
      </w:r>
      <w:r>
        <w:rPr>
          <w:rFonts w:ascii="Times New Roman" w:hAnsi="Times New Roman"/>
          <w:sz w:val="28"/>
          <w:shd w:fill="auto" w:val="clear"/>
        </w:rPr>
        <w:t>и</w:t>
      </w:r>
      <w:r>
        <w:rPr>
          <w:rFonts w:ascii="Times New Roman" w:hAnsi="Times New Roman"/>
          <w:sz w:val="28"/>
          <w:shd w:fill="auto" w:val="clear"/>
        </w:rPr>
        <w:t>, сбор</w:t>
      </w:r>
      <w:r>
        <w:rPr>
          <w:rFonts w:ascii="Times New Roman" w:hAnsi="Times New Roman"/>
          <w:sz w:val="28"/>
          <w:shd w:fill="auto" w:val="clear"/>
        </w:rPr>
        <w:t>е</w:t>
      </w:r>
      <w:r>
        <w:rPr>
          <w:rFonts w:ascii="Times New Roman" w:hAnsi="Times New Roman"/>
          <w:sz w:val="28"/>
          <w:shd w:fill="auto" w:val="clear"/>
        </w:rPr>
        <w:t xml:space="preserve"> и утилизации отходов; </w:t>
      </w:r>
      <w:r>
        <w:rPr>
          <w:rFonts w:ascii="Times New Roman" w:hAnsi="Times New Roman"/>
          <w:sz w:val="28"/>
          <w:shd w:fill="auto" w:val="clear"/>
        </w:rPr>
        <w:t xml:space="preserve">объеме </w:t>
      </w:r>
      <w:r>
        <w:rPr>
          <w:rFonts w:ascii="Times New Roman" w:hAnsi="Times New Roman"/>
          <w:sz w:val="28"/>
          <w:shd w:fill="auto" w:val="clear"/>
        </w:rPr>
        <w:t xml:space="preserve">строительных работ; </w:t>
      </w:r>
      <w:r>
        <w:rPr>
          <w:rFonts w:ascii="Times New Roman" w:hAnsi="Times New Roman"/>
          <w:sz w:val="28"/>
          <w:shd w:fill="auto" w:val="clear"/>
        </w:rPr>
        <w:t xml:space="preserve">обороте </w:t>
      </w:r>
      <w:r>
        <w:rPr>
          <w:rFonts w:ascii="Times New Roman" w:hAnsi="Times New Roman"/>
          <w:sz w:val="28"/>
          <w:shd w:fill="auto" w:val="clear"/>
        </w:rPr>
        <w:t xml:space="preserve">оптовой торговли; </w:t>
      </w:r>
      <w:r>
        <w:rPr>
          <w:rFonts w:ascii="Times New Roman" w:hAnsi="Times New Roman"/>
          <w:sz w:val="28"/>
          <w:shd w:fill="auto" w:val="clear"/>
        </w:rPr>
        <w:t xml:space="preserve">обороте </w:t>
      </w:r>
      <w:r>
        <w:rPr>
          <w:rFonts w:ascii="Times New Roman" w:hAnsi="Times New Roman"/>
          <w:sz w:val="28"/>
          <w:shd w:fill="auto" w:val="clear"/>
        </w:rPr>
        <w:t xml:space="preserve">общественного питания. 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Оборот организаций по всем видам экономической деятельности за январь-февраль 2024 года составил 85 995,4 млн рублей, вырос на 17,7% к январю-февралю 2023 года.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Индекс промышленного производства составил 114,0%. Рост в добывающей промышленности – 26,3%, обрабатывающих производствах – 14,2%, в деятельности организаций по обеспечению электрической энергией, газом и паром; кондиционированию воздуха – 5,4% к январю-февралю 2023 года. Отрицательная динамика наблюдается в водоснабжении, водоотведении, организации сбора и утилизации отходов, ликвидации загрязнений (–1,2%).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Предприятиями, осуществляющими добычу полезных ископаемых, отгружено продукции на 9 429,4 млн рублей (236,5% к январю-февралю 2023 года в действующих ценах). Индекс производства составил 126,3%, что обусловлено увеличением добычи угля в 2 раза и металлических руд на 28,8%.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В обрабатывающих производствах отгружено товаров собственного производства на сумму 20 759,1 млн рублей или 122,3% по отношению к январю-февралю 2023 года, индекс производства составил 114,2%.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Индекс производства пищевых продуктов составил 119,6% к январю-февралю 2023 года, объем отгруженной продукции составил 19 486,7 млн рублей (128,6% к январю-февралю 2023 года).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Рыбы переработанной и консервированной, ракообразных и моллюсков произведено 225,5 тыс. тонн или 126,8% к к январю-февралю 2023 года.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color w:val="000000"/>
          <w:sz w:val="28"/>
          <w:shd w:fill="auto" w:val="clear"/>
        </w:rPr>
        <w:t xml:space="preserve">За январь-февраль 2024 года объем </w:t>
      </w:r>
      <w:r>
        <w:rPr>
          <w:rFonts w:ascii="Times New Roman" w:hAnsi="Times New Roman"/>
          <w:color w:val="000000"/>
          <w:sz w:val="28"/>
          <w:shd w:fill="auto" w:val="clear"/>
        </w:rPr>
        <w:t>вылова</w:t>
      </w:r>
      <w:r>
        <w:rPr>
          <w:rFonts w:ascii="Times New Roman" w:hAnsi="Times New Roman"/>
          <w:color w:val="000000"/>
          <w:sz w:val="28"/>
          <w:shd w:fill="auto" w:val="clear"/>
        </w:rPr>
        <w:t xml:space="preserve"> водных биологических ресурсов составил 313,2 тыс. тонн, что на 16,7% больше, чем за январь-февраль 2023 года. </w:t>
      </w:r>
      <w:r>
        <w:rPr>
          <w:rFonts w:ascii="Times New Roman" w:hAnsi="Times New Roman"/>
          <w:color w:val="000000"/>
          <w:spacing w:val="0"/>
          <w:sz w:val="28"/>
          <w:shd w:fill="auto" w:val="clear"/>
        </w:rPr>
        <w:t>Увеличение объемов вылова отмечается: по кальмару в 13</w:t>
      </w:r>
      <w:r>
        <w:rPr>
          <w:rFonts w:ascii="Times New Roman" w:hAnsi="Times New Roman"/>
          <w:color w:val="000000"/>
          <w:spacing w:val="0"/>
          <w:sz w:val="28"/>
          <w:shd w:fill="auto" w:val="clear"/>
        </w:rPr>
        <w:t>4,3</w:t>
      </w:r>
      <w:r>
        <w:rPr>
          <w:rFonts w:ascii="Times New Roman" w:hAnsi="Times New Roman"/>
          <w:color w:val="000000"/>
          <w:spacing w:val="0"/>
          <w:sz w:val="28"/>
          <w:shd w:fill="auto" w:val="clear"/>
        </w:rPr>
        <w:t xml:space="preserve"> раза, тихоокеанской сельди в 3,4 раза, наваге в 3,8 раза, палтусу </w:t>
      </w:r>
      <w:r>
        <w:rPr>
          <w:rFonts w:ascii="Times New Roman" w:hAnsi="Times New Roman"/>
          <w:color w:val="000000"/>
          <w:spacing w:val="0"/>
          <w:sz w:val="28"/>
          <w:shd w:fill="auto" w:val="clear"/>
        </w:rPr>
        <w:t xml:space="preserve">и терпугам </w:t>
      </w:r>
      <w:r>
        <w:rPr>
          <w:rFonts w:ascii="Times New Roman" w:hAnsi="Times New Roman"/>
          <w:color w:val="000000"/>
          <w:spacing w:val="0"/>
          <w:sz w:val="28"/>
          <w:shd w:fill="auto" w:val="clear"/>
        </w:rPr>
        <w:t xml:space="preserve">в 1,7 раза, треске +23,0%, камбале +12,3%, </w:t>
      </w:r>
      <w:r>
        <w:rPr>
          <w:rFonts w:ascii="Times New Roman" w:hAnsi="Times New Roman"/>
          <w:color w:val="000000"/>
          <w:spacing w:val="0"/>
          <w:sz w:val="28"/>
          <w:shd w:fill="auto" w:val="clear"/>
        </w:rPr>
        <w:t>минтаю</w:t>
      </w:r>
      <w:r>
        <w:rPr>
          <w:rFonts w:ascii="Times New Roman" w:hAnsi="Times New Roman"/>
          <w:color w:val="000000"/>
          <w:spacing w:val="0"/>
          <w:sz w:val="28"/>
          <w:shd w:fill="auto" w:val="clear"/>
        </w:rPr>
        <w:t xml:space="preserve"> +</w:t>
      </w:r>
      <w:r>
        <w:rPr>
          <w:rFonts w:ascii="Times New Roman" w:hAnsi="Times New Roman"/>
          <w:color w:val="000000"/>
          <w:spacing w:val="0"/>
          <w:sz w:val="28"/>
          <w:shd w:fill="auto" w:val="clear"/>
        </w:rPr>
        <w:t>2,7</w:t>
      </w:r>
      <w:r>
        <w:rPr>
          <w:rFonts w:ascii="Times New Roman" w:hAnsi="Times New Roman"/>
          <w:color w:val="000000"/>
          <w:spacing w:val="0"/>
          <w:sz w:val="28"/>
          <w:shd w:fill="auto" w:val="clear"/>
        </w:rPr>
        <w:t xml:space="preserve">%. 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 xml:space="preserve">В секторе производства пищевых продуктов отмечено увеличение производства мяса птицы (+35,0%), колбасных изделий (+9,5%), масла сливочного (+7,3%), сыра и и творога (+1,8%). 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 xml:space="preserve">Снижение отмечалось по переработке мяса крупного рогатого скота </w:t>
      </w:r>
      <w:r>
        <w:rPr>
          <w:rFonts w:ascii="Times New Roman" w:hAnsi="Times New Roman"/>
          <w:sz w:val="28"/>
          <w:shd w:fill="auto" w:val="clear"/>
        </w:rPr>
        <w:t>(–</w:t>
      </w:r>
      <w:r>
        <w:rPr>
          <w:rFonts w:ascii="Times New Roman" w:hAnsi="Times New Roman"/>
          <w:sz w:val="28"/>
          <w:shd w:fill="auto" w:val="clear"/>
        </w:rPr>
        <w:t>13,6%</w:t>
      </w:r>
      <w:r>
        <w:rPr>
          <w:rFonts w:ascii="Times New Roman" w:hAnsi="Times New Roman"/>
          <w:sz w:val="28"/>
          <w:shd w:fill="auto" w:val="clear"/>
        </w:rPr>
        <w:t>)</w:t>
      </w:r>
      <w:r>
        <w:rPr>
          <w:rFonts w:ascii="Times New Roman" w:hAnsi="Times New Roman"/>
          <w:sz w:val="28"/>
          <w:shd w:fill="auto" w:val="clear"/>
        </w:rPr>
        <w:t xml:space="preserve">, производству мясных полуфабрикатов </w:t>
      </w:r>
      <w:r>
        <w:rPr>
          <w:rFonts w:ascii="Times New Roman" w:hAnsi="Times New Roman"/>
          <w:sz w:val="28"/>
          <w:shd w:fill="auto" w:val="clear"/>
        </w:rPr>
        <w:t>(–</w:t>
      </w:r>
      <w:r>
        <w:rPr>
          <w:rFonts w:ascii="Times New Roman" w:hAnsi="Times New Roman"/>
          <w:sz w:val="28"/>
          <w:shd w:fill="auto" w:val="clear"/>
        </w:rPr>
        <w:t>52,0%</w:t>
      </w:r>
      <w:r>
        <w:rPr>
          <w:rFonts w:ascii="Times New Roman" w:hAnsi="Times New Roman"/>
          <w:sz w:val="28"/>
          <w:shd w:fill="auto" w:val="clear"/>
        </w:rPr>
        <w:t>)</w:t>
      </w:r>
      <w:r>
        <w:rPr>
          <w:rFonts w:ascii="Times New Roman" w:hAnsi="Times New Roman"/>
          <w:sz w:val="28"/>
          <w:shd w:fill="auto" w:val="clear"/>
        </w:rPr>
        <w:t xml:space="preserve">, кондитерских изделий </w:t>
      </w:r>
      <w:r>
        <w:rPr>
          <w:rFonts w:ascii="Times New Roman" w:hAnsi="Times New Roman"/>
          <w:sz w:val="28"/>
          <w:shd w:fill="auto" w:val="clear"/>
        </w:rPr>
        <w:t>(–</w:t>
      </w:r>
      <w:r>
        <w:rPr>
          <w:rFonts w:ascii="Times New Roman" w:hAnsi="Times New Roman"/>
          <w:sz w:val="28"/>
          <w:shd w:fill="auto" w:val="clear"/>
        </w:rPr>
        <w:t>30,5%</w:t>
      </w:r>
      <w:r>
        <w:rPr>
          <w:rFonts w:ascii="Times New Roman" w:hAnsi="Times New Roman"/>
          <w:sz w:val="28"/>
          <w:shd w:fill="auto" w:val="clear"/>
        </w:rPr>
        <w:t>)</w:t>
      </w:r>
      <w:r>
        <w:rPr>
          <w:rFonts w:ascii="Times New Roman" w:hAnsi="Times New Roman"/>
          <w:sz w:val="28"/>
          <w:shd w:fill="auto" w:val="clear"/>
        </w:rPr>
        <w:t xml:space="preserve">, хлебобулочных изделий </w:t>
      </w:r>
      <w:r>
        <w:rPr>
          <w:rFonts w:ascii="Times New Roman" w:hAnsi="Times New Roman"/>
          <w:sz w:val="28"/>
          <w:shd w:fill="auto" w:val="clear"/>
        </w:rPr>
        <w:t>(–</w:t>
      </w:r>
      <w:r>
        <w:rPr>
          <w:rFonts w:ascii="Times New Roman" w:hAnsi="Times New Roman"/>
          <w:sz w:val="28"/>
          <w:shd w:fill="auto" w:val="clear"/>
        </w:rPr>
        <w:t>8,1%</w:t>
      </w:r>
      <w:r>
        <w:rPr>
          <w:rFonts w:ascii="Times New Roman" w:hAnsi="Times New Roman"/>
          <w:sz w:val="28"/>
          <w:shd w:fill="auto" w:val="clear"/>
        </w:rPr>
        <w:t>)</w:t>
      </w:r>
      <w:r>
        <w:rPr>
          <w:rFonts w:ascii="Times New Roman" w:hAnsi="Times New Roman"/>
          <w:sz w:val="28"/>
          <w:shd w:fill="auto" w:val="clear"/>
        </w:rPr>
        <w:t xml:space="preserve">, молока </w:t>
      </w:r>
      <w:r>
        <w:rPr>
          <w:rFonts w:ascii="Times New Roman" w:hAnsi="Times New Roman"/>
          <w:sz w:val="28"/>
          <w:shd w:fill="auto" w:val="clear"/>
        </w:rPr>
        <w:t>(–</w:t>
      </w:r>
      <w:r>
        <w:rPr>
          <w:rFonts w:ascii="Times New Roman" w:hAnsi="Times New Roman"/>
          <w:sz w:val="28"/>
          <w:shd w:fill="auto" w:val="clear"/>
        </w:rPr>
        <w:t>1,9%</w:t>
      </w:r>
      <w:r>
        <w:rPr>
          <w:rFonts w:ascii="Times New Roman" w:hAnsi="Times New Roman"/>
          <w:sz w:val="28"/>
          <w:shd w:fill="auto" w:val="clear"/>
        </w:rPr>
        <w:t>)</w:t>
      </w:r>
      <w:r>
        <w:rPr>
          <w:rFonts w:ascii="Times New Roman" w:hAnsi="Times New Roman"/>
          <w:sz w:val="28"/>
          <w:shd w:fill="auto" w:val="clear"/>
        </w:rPr>
        <w:t>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Наблюдается снижение производства по ремонту и монтажу машин и оборудования (судоремонт) на 55,0% к январю-февралю 2023 года.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На предприятиях по обеспечению электрической энергией, газом и паром отгружено продукции собственного производства на сумму 5 580,5 млн рублей, что составляет 100,9% к январю-февралю 2023 года, индекс производства составил 105,4%. Производство электроэнергии увеличилось на 8,4% к январю-февралю 2023 года и составило 432,6 млн кВт-ч. Отмечается рост потребления электрической энергии предприятиями сельского хозяйства, транспорта, связи, организациями жилищно-коммунального хозяйства и населением. Производство тепловой энергии, пара и горячей воды увеличилось на 2,0% (произведено 912,6 тыс. Гкл).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Объем отгруженных товаров предприятиями водоснабжения; водоотведения, сбора и утилизации отходов составил 650,5 млн рублей (101,3% к январю-февралю 2023 года), индекс производства составил 98,8%, в том числе индекс производства по забору, очистке и распределению воды составил 100,8%, по сбору и обработке сточных вод – 97,9%, по сбору, обработке и утилизации отходов; обработки вторичного сырья – 97,2%.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Производство продукции сельского хозяйства за 2023 год составило 11 650,3 млн рублей (96,5% к 2022 году).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 xml:space="preserve">В январе-феврале 2024 года в сельскохозяйственных организациях Камчатского края ситуация в сфере животноводства сложилась следующим образом: 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– </w:t>
      </w:r>
      <w:r>
        <w:rPr>
          <w:rFonts w:ascii="Times New Roman" w:hAnsi="Times New Roman"/>
          <w:sz w:val="28"/>
          <w:shd w:fill="auto" w:val="clear"/>
        </w:rPr>
        <w:t>производство мяса составило 1,2 тыс. тонн (96,5% к январю-февралю 2023 года);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– </w:t>
      </w:r>
      <w:r>
        <w:rPr>
          <w:rFonts w:ascii="Times New Roman" w:hAnsi="Times New Roman"/>
          <w:sz w:val="28"/>
          <w:shd w:fill="auto" w:val="clear"/>
        </w:rPr>
        <w:t>производство молока составило 3,4 тыс. тонн (95,4% к январю-февралю 2023 года). Средний надой молока на одну корову снизился на 2,2%;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– </w:t>
      </w:r>
      <w:r>
        <w:rPr>
          <w:rFonts w:ascii="Times New Roman" w:hAnsi="Times New Roman"/>
          <w:sz w:val="28"/>
          <w:shd w:fill="auto" w:val="clear"/>
        </w:rPr>
        <w:t>производство яйца выросло на 15,2% к январю-февралю 2023 года.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 xml:space="preserve">Объём инвестиций в основной капитал за 2023 год составил 128 156,7 млн рублей или 124,1 % к 2022 году (в сопоставимой оценке). 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color w:val="000000"/>
          <w:sz w:val="28"/>
          <w:shd w:fill="auto" w:val="clear"/>
        </w:rPr>
        <w:t>Объём работ, выполненных по виду экономической деятельности «Строительство», в январе-феврале</w:t>
      </w:r>
      <w:r>
        <w:rPr>
          <w:shd w:fill="auto" w:val="clear"/>
        </w:rPr>
        <w:t xml:space="preserve"> </w:t>
      </w:r>
      <w:r>
        <w:rPr>
          <w:rFonts w:ascii="Times New Roman" w:hAnsi="Times New Roman"/>
          <w:color w:val="000000"/>
          <w:sz w:val="28"/>
          <w:shd w:fill="auto" w:val="clear"/>
        </w:rPr>
        <w:t>2024</w:t>
      </w:r>
      <w:r>
        <w:rPr>
          <w:shd w:fill="auto" w:val="clear"/>
        </w:rPr>
        <w:t xml:space="preserve"> </w:t>
      </w:r>
      <w:r>
        <w:rPr>
          <w:rFonts w:ascii="Times New Roman" w:hAnsi="Times New Roman"/>
          <w:color w:val="000000"/>
          <w:sz w:val="28"/>
          <w:shd w:fill="auto" w:val="clear"/>
        </w:rPr>
        <w:t>года составил</w:t>
      </w:r>
      <w:r>
        <w:rPr>
          <w:shd w:fill="auto" w:val="clear"/>
        </w:rPr>
        <w:t xml:space="preserve"> </w:t>
      </w:r>
      <w:r>
        <w:rPr>
          <w:rFonts w:ascii="Times New Roman" w:hAnsi="Times New Roman"/>
          <w:color w:val="000000"/>
          <w:sz w:val="28"/>
          <w:shd w:fill="auto" w:val="clear"/>
        </w:rPr>
        <w:t>2 535,9</w:t>
      </w:r>
      <w:r>
        <w:rPr>
          <w:shd w:fill="auto" w:val="clear"/>
        </w:rPr>
        <w:t xml:space="preserve"> </w:t>
      </w:r>
      <w:r>
        <w:rPr>
          <w:rFonts w:ascii="Times New Roman" w:hAnsi="Times New Roman"/>
          <w:color w:val="000000"/>
          <w:sz w:val="28"/>
          <w:shd w:fill="auto" w:val="clear"/>
        </w:rPr>
        <w:t>млн рублей, что в сопоставимой оценке составляет</w:t>
      </w:r>
      <w:r>
        <w:rPr>
          <w:shd w:fill="auto" w:val="clear"/>
        </w:rPr>
        <w:t xml:space="preserve"> </w:t>
      </w:r>
      <w:r>
        <w:rPr>
          <w:rFonts w:ascii="Times New Roman" w:hAnsi="Times New Roman"/>
          <w:color w:val="000000"/>
          <w:sz w:val="28"/>
          <w:shd w:fill="auto" w:val="clear"/>
        </w:rPr>
        <w:t>73,9% относительно показателя за аналогичный период предыдущего года.</w:t>
      </w:r>
      <w:r>
        <w:rPr>
          <w:rFonts w:ascii="Times New Roman" w:hAnsi="Times New Roman"/>
          <w:color w:val="000000"/>
          <w:sz w:val="28"/>
          <w:shd w:fill="auto" w:val="clear"/>
        </w:rPr>
        <w:t xml:space="preserve"> Снижение показателя обусловлено завершением основного объема строительных работ по таким объектам как краевая больница, здание аэровокзального комплекса и перехода подрядчиков к этапу отделочных работ.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color w:val="000000"/>
          <w:sz w:val="28"/>
          <w:shd w:fill="auto" w:val="clear"/>
        </w:rPr>
        <w:t>За январь-февраль</w:t>
      </w:r>
      <w:r>
        <w:rPr>
          <w:shd w:fill="auto" w:val="clear"/>
        </w:rPr>
        <w:t xml:space="preserve"> </w:t>
      </w:r>
      <w:r>
        <w:rPr>
          <w:rFonts w:ascii="Times New Roman" w:hAnsi="Times New Roman"/>
          <w:color w:val="000000"/>
          <w:sz w:val="28"/>
          <w:shd w:fill="auto" w:val="clear"/>
        </w:rPr>
        <w:t>2024</w:t>
      </w:r>
      <w:r>
        <w:rPr>
          <w:shd w:fill="auto" w:val="clear"/>
        </w:rPr>
        <w:t xml:space="preserve"> </w:t>
      </w:r>
      <w:r>
        <w:rPr>
          <w:rFonts w:ascii="Times New Roman" w:hAnsi="Times New Roman"/>
          <w:color w:val="000000"/>
          <w:sz w:val="28"/>
          <w:shd w:fill="auto" w:val="clear"/>
        </w:rPr>
        <w:t>года на территории Камчатского края введено в действие жилых домов (с учетом жилых домов, построенных на земельных участках, предназначенных для ведения гражданами садоводства) общей площадью</w:t>
      </w:r>
      <w:r>
        <w:rPr>
          <w:shd w:fill="auto" w:val="clear"/>
        </w:rPr>
        <w:t xml:space="preserve"> </w:t>
      </w:r>
      <w:r>
        <w:rPr>
          <w:rFonts w:ascii="Times New Roman" w:hAnsi="Times New Roman"/>
          <w:color w:val="000000"/>
          <w:sz w:val="28"/>
          <w:shd w:fill="auto" w:val="clear"/>
        </w:rPr>
        <w:t>20,3 тыс. кв. метров (100,8% к аналогичному периоду 2023</w:t>
      </w:r>
      <w:r>
        <w:rPr>
          <w:shd w:fill="auto" w:val="clear"/>
        </w:rPr>
        <w:t xml:space="preserve"> </w:t>
      </w:r>
      <w:r>
        <w:rPr>
          <w:rFonts w:ascii="Times New Roman" w:hAnsi="Times New Roman"/>
          <w:color w:val="000000"/>
          <w:sz w:val="28"/>
          <w:shd w:fill="auto" w:val="clear"/>
        </w:rPr>
        <w:t>года), в том числе, построенных населением за счет собственных и привлеченных средств</w:t>
      </w:r>
      <w:r>
        <w:rPr>
          <w:shd w:fill="auto" w:val="clear"/>
        </w:rPr>
        <w:t xml:space="preserve"> </w:t>
      </w:r>
      <w:r>
        <w:rPr>
          <w:rFonts w:ascii="Times New Roman" w:hAnsi="Times New Roman"/>
          <w:color w:val="000000"/>
          <w:sz w:val="28"/>
          <w:shd w:fill="auto" w:val="clear"/>
        </w:rPr>
        <w:t>20,3 тыс. кв. метров (155,0 % к аналогичному периоду 2023</w:t>
      </w:r>
      <w:r>
        <w:rPr>
          <w:shd w:fill="auto" w:val="clear"/>
        </w:rPr>
        <w:t xml:space="preserve"> </w:t>
      </w:r>
      <w:r>
        <w:rPr>
          <w:rFonts w:ascii="Times New Roman" w:hAnsi="Times New Roman"/>
          <w:color w:val="000000"/>
          <w:sz w:val="28"/>
          <w:shd w:fill="auto" w:val="clear"/>
        </w:rPr>
        <w:t>года).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color w:val="000000"/>
          <w:sz w:val="28"/>
          <w:shd w:fill="auto" w:val="clear"/>
        </w:rPr>
        <w:t>Перечень краевых инвестиционных мероприятий (объектов) утвержден постановлением Правительства Камчатского края от 23.11.2023 № 585-П «Об утверждении инвестиционной программы Камчатского края на 2024 год и на плановый период 2025–2026 годов и прогнозный период 2027–2028 годов» (далее –</w:t>
      </w:r>
      <w:r>
        <w:rPr>
          <w:shd w:fill="auto" w:val="clear"/>
        </w:rPr>
        <w:t xml:space="preserve"> </w:t>
      </w:r>
      <w:r>
        <w:rPr>
          <w:rFonts w:ascii="Times New Roman" w:hAnsi="Times New Roman"/>
          <w:color w:val="000000"/>
          <w:sz w:val="28"/>
          <w:shd w:fill="auto" w:val="clear"/>
        </w:rPr>
        <w:t>Инвестиционная программа).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color w:val="000000"/>
          <w:sz w:val="28"/>
          <w:shd w:fill="auto" w:val="clear"/>
        </w:rPr>
        <w:t>В 2024 году на реализацию инвестиционных мероприятий предусмотрены ассигнования за счет всех источников финансирования в сумме 20 644,68 млн рублей, в том числе за счет средств федерального бюджета – 11 654,84 млн рублей (56,5%), краевого бюджета – 6 491,15 млн рублей (31,4%), Фонда развития территорий – 803,55 млн рублей (3,9%).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color w:val="000000"/>
          <w:sz w:val="28"/>
          <w:shd w:fill="auto" w:val="clear"/>
        </w:rPr>
        <w:t>В рамках Инвестиционной программы ведется строительство значимых для Камчатского края объектов, в том числе: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709" w:left="0" w:right="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color w:val="000000"/>
          <w:sz w:val="28"/>
          <w:shd w:fill="auto" w:val="clear"/>
        </w:rPr>
        <w:t>строительство Камчатской краевой больницы,</w:t>
      </w:r>
      <w:r>
        <w:rPr>
          <w:shd w:fill="auto" w:val="clear"/>
        </w:rPr>
        <w:t xml:space="preserve"> </w:t>
      </w:r>
      <w:r>
        <w:rPr>
          <w:rFonts w:ascii="Times New Roman" w:hAnsi="Times New Roman"/>
          <w:color w:val="000000"/>
          <w:sz w:val="28"/>
          <w:shd w:fill="auto" w:val="clear"/>
        </w:rPr>
        <w:t>техническая готовность объекта на отчетную дату составила</w:t>
      </w:r>
      <w:r>
        <w:rPr>
          <w:shd w:fill="auto" w:val="clear"/>
        </w:rPr>
        <w:t xml:space="preserve"> </w:t>
      </w:r>
      <w:r>
        <w:rPr>
          <w:rFonts w:ascii="Times New Roman" w:hAnsi="Times New Roman"/>
          <w:color w:val="000000"/>
          <w:sz w:val="28"/>
          <w:shd w:fill="auto" w:val="clear"/>
        </w:rPr>
        <w:t>57%;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709" w:left="0" w:right="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color w:val="000000"/>
          <w:sz w:val="28"/>
          <w:shd w:fill="auto" w:val="clear"/>
        </w:rPr>
        <w:t>продолжилось строительство Камчатского театра кукол г. Петропавловск-Камчатский на 350 мест, заключен контракт с единственным поставщиком ООО «Трест» от 29.04.2022 № 28/22-ГК на завершение строительства, срок выполнения работ 01.12.2024;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709" w:left="0" w:right="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color w:val="000000"/>
          <w:sz w:val="28"/>
          <w:shd w:fill="auto" w:val="clear"/>
        </w:rPr>
        <w:t>продолжилось строительство Комплекса многоквартирных жилых домов в жилом районе Приморский города Вилючинска, строительство поэтапное, в текущем году ведутся работы третьего этапа, мощность объекта – 270 квартир, техническая готовность 3-го этапа – 63,3%, общая готовность – 76,8%;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709" w:left="0" w:right="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color w:val="000000"/>
          <w:sz w:val="28"/>
          <w:shd w:fill="auto" w:val="clear"/>
        </w:rPr>
        <w:t>продолжилось строительство автомобильной дороги общего</w:t>
      </w:r>
      <w:r>
        <w:rPr>
          <w:shd w:fill="auto" w:val="clear"/>
        </w:rPr>
        <w:t xml:space="preserve"> </w:t>
      </w:r>
      <w:r>
        <w:rPr>
          <w:rFonts w:ascii="Times New Roman" w:hAnsi="Times New Roman"/>
          <w:color w:val="000000"/>
          <w:sz w:val="28"/>
          <w:shd w:fill="auto" w:val="clear"/>
        </w:rPr>
        <w:t>пользования регионального значения Камчатского края «п. Термальный —  туристский кластер «Три вулкана» (1–3 этапы), протяженностью 32,063 км. 17.10.2022 заключен государственный контракт № 48 Подрядчик ООО «Устой-М»;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709" w:left="0" w:right="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color w:val="000000"/>
          <w:sz w:val="28"/>
          <w:shd w:fill="auto" w:val="clear"/>
        </w:rPr>
        <w:t>продолжилось строительство Средней школы № 40 по ул. Вольского микрорайона «Северо-Восток» в г. Петропавловске-Камчатском на 500 мест со сроком исполнения до 04.12.2024, техническая готовность объекта 76,2%;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709" w:left="0" w:right="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color w:val="000000"/>
          <w:sz w:val="28"/>
          <w:shd w:fill="auto" w:val="clear"/>
        </w:rPr>
        <w:t>продолжились строительные работы на объекте «Водовод с водозабором в с. Тигиль», срок окончания работ по контракту 01.11.2024;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709" w:left="0" w:right="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color w:val="000000"/>
          <w:sz w:val="28"/>
          <w:shd w:fill="auto" w:val="clear"/>
        </w:rPr>
        <w:t>реализуется мероприятие «Регазификационный комплекс СПГ в Камчатском крае», мощность 446 тонн в год;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709" w:left="0" w:right="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color w:val="000000"/>
          <w:sz w:val="28"/>
          <w:shd w:fill="auto" w:val="clear"/>
        </w:rPr>
        <w:t>реализуются мероприятия по переселению граждан из аварийного жилищного фонда признанного таковым в период с 1 января 2017 года до 1 января 2022 года;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737" w:left="0" w:right="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color w:val="000000"/>
          <w:sz w:val="28"/>
          <w:shd w:fill="auto" w:val="clear"/>
        </w:rPr>
        <w:t>строительство Учебного корпуса МБОУ «Елизовская средняя школа № 1  им. М.В. Ломоносова» на 500 учащихся. Заключен муниципальный контракт от 05.12.2023 № 0138300000123000221 с ООО «Трест», срок окончания работ по контракту 30.11.2025.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color w:val="000000"/>
          <w:sz w:val="28"/>
          <w:shd w:fill="auto" w:val="clear"/>
        </w:rPr>
        <w:t>Фактический объем финансирования за отчетный период</w:t>
      </w:r>
      <w:r>
        <w:rPr>
          <w:shd w:fill="auto" w:val="clear"/>
        </w:rPr>
        <w:t xml:space="preserve"> </w:t>
      </w:r>
      <w:r>
        <w:rPr>
          <w:rFonts w:ascii="Times New Roman" w:hAnsi="Times New Roman"/>
          <w:color w:val="000000"/>
          <w:sz w:val="28"/>
          <w:shd w:fill="auto" w:val="clear"/>
        </w:rPr>
        <w:t>составил 197,92 млн рублей (1,0% от предусмотренного объема), в том числе за счет средств федерального бюджета – 139,95 млн рублей (1,2%), за счет средств краевого бюджета – 29,12 млн рублей (0,4%), Фонда развития территорий – 28,82 млн рублей (3,6%).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В секторе потребительского рынка в январе-феврале 2024 года сложилась следующая ситуация: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– </w:t>
      </w:r>
      <w:r>
        <w:rPr>
          <w:rFonts w:ascii="Times New Roman" w:hAnsi="Times New Roman"/>
          <w:sz w:val="28"/>
          <w:shd w:fill="auto" w:val="clear"/>
        </w:rPr>
        <w:t>оборот розничной торговли составил 16 594,4 млн рублей (109,8% к январю-февралю 2023 года) и на 94,2% сформирован торгующими организациями и индивидуальными предпринимателями, осуществляющими деятельность вне рынка;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– </w:t>
      </w:r>
      <w:r>
        <w:rPr>
          <w:rFonts w:ascii="Times New Roman" w:hAnsi="Times New Roman"/>
          <w:sz w:val="28"/>
          <w:shd w:fill="auto" w:val="clear"/>
        </w:rPr>
        <w:t>оборот общественного питания составил 1 183,7 млн рублей (75,7% к январю-февралю 2023 года);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– </w:t>
      </w:r>
      <w:r>
        <w:rPr>
          <w:rFonts w:ascii="Times New Roman" w:hAnsi="Times New Roman"/>
          <w:sz w:val="28"/>
          <w:shd w:fill="auto" w:val="clear"/>
        </w:rPr>
        <w:t>платных услуг населению края было оказано на сумму 5 938,3 млн рублей (103,2% к январю-февралю 2023 года).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В структуре объема платных услуг населению, по-прежнему, преобладали: коммунальные, транспортные, телекоммуникационные и жилищные услуги. На их долю приходится более 70,0% общего объема потребляемых услуг. Удельный вес бытовых услуг в общем объеме платных услуг населению составил 6,2%. В январе-феврале 2024 года населению края было оказано бытовых услуг на 371,2 млн рублей, что в сопоставимых ценах на 6,8% больше, чем в январе-феврале 2023 года.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Пассажирооборот автомобильного транспорта за январь-февраль 2024 года составил 43,7 млн пасс.-км (102,7% к январю-февралю 2023 года). Число перевезенных пассажиров автомобильным транспортом составило 5,2 млн человек (100,6% к январю-февралю 2023 года).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Грузооборот автомобильного транспорта за январь-февраль 2024 года составил 14,7 млн т-км (рост в 4,8 раза к январю-февралю 2023 года).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Объем перевезенного груза на морском транспорте за январь-февраль 2024 года составил 101,3 тыс. тонн (189,3% к январю-февралю 2023 года). Грузооборот морского транспорта увеличился в 2,3 раза и составил 207 336,0 млн т-км. Рост в каботажном плавании увеличился в 2 раза, в заграничном в 6,3 раза к январю-февралю 2023 года.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Среднегодовой показатель индекса потребительских цен в январе-феврале 2024 года составил 107,8%, в том числе: 107,7% на продовольственные товары,</w:t>
        <w:br/>
        <w:t>107,8% – на непродовольственные товары и 1</w:t>
      </w:r>
      <w:r>
        <w:rPr>
          <w:rFonts w:ascii="Times New Roman" w:hAnsi="Times New Roman"/>
          <w:sz w:val="28"/>
          <w:shd w:fill="auto" w:val="clear"/>
        </w:rPr>
        <w:t>08,0% на услуги.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Среднемесячная номинальная начисленная заработная плата одного работника за январь 2024 года составила 119 784,8 рублей (117,3% к январю 2023 года). Реальная заработная плата составила 109,0% к январю 2023 года.</w:t>
      </w:r>
    </w:p>
    <w:p>
      <w:pPr>
        <w:pStyle w:val="Normal"/>
        <w:spacing w:lineRule="auto" w:line="240" w:before="0" w:after="0"/>
        <w:ind w:firstLine="708" w:left="0" w:right="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 xml:space="preserve">На 01.03.2024 просроченная задолженность по заработной плате составила </w:t>
      </w:r>
      <w:r>
        <w:rPr>
          <w:rFonts w:ascii="Times New Roman" w:hAnsi="Times New Roman"/>
          <w:sz w:val="28"/>
          <w:shd w:fill="auto" w:val="clear"/>
        </w:rPr>
        <w:t>2</w:t>
      </w:r>
      <w:r>
        <w:rPr>
          <w:rFonts w:ascii="Times New Roman" w:hAnsi="Times New Roman"/>
          <w:sz w:val="28"/>
          <w:shd w:fill="auto" w:val="clear"/>
        </w:rPr>
        <w:t> </w:t>
      </w:r>
      <w:r>
        <w:rPr>
          <w:rFonts w:ascii="Times New Roman" w:hAnsi="Times New Roman"/>
          <w:sz w:val="28"/>
          <w:shd w:fill="auto" w:val="clear"/>
        </w:rPr>
        <w:t>656,0</w:t>
      </w:r>
      <w:r>
        <w:rPr>
          <w:rFonts w:ascii="Times New Roman" w:hAnsi="Times New Roman"/>
          <w:sz w:val="28"/>
          <w:shd w:fill="auto" w:val="clear"/>
        </w:rPr>
        <w:t xml:space="preserve"> тыс. рублей (МУП «Автодор» – 2 451,0 тыс. рублей, РО КМНИК «Лукичи» – 205,0 тыс. рублей).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Задолженность на 100% образована из-за отсутствия у организации собственных средств. Ситуация с погашением задолженности по заработной плате находится на постоянном контроле Правительства Камчатского края.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Численность официально зарегистрированных безработных по состоянию на 01.03.2024 составила 1,4 тыс. человек. Уровень регистрируемой безработицы – 0,9% (на 01.03.2023 – 1,2%). Напряженность на рынке труда составила 0,3 человека на одну заявленную работодателями вакансию (01.03.2023 – 0,5).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По состоянию на 01.02.2024 численность населения составила 288,8 тыс. человек, уменьшившись по сравнению с 1 января 2024 года на 103 человека за счет миграционной и естественной убыли населения (7 и 96 человек соответственно).</w:t>
      </w:r>
    </w:p>
    <w:p>
      <w:pPr>
        <w:pStyle w:val="BodyText"/>
        <w:spacing w:lineRule="auto" w:line="240" w:before="0" w:after="0"/>
        <w:ind w:firstLine="709" w:left="0" w:right="0"/>
        <w:jc w:val="both"/>
        <w:rPr>
          <w:highlight w:val="none"/>
          <w:shd w:fill="auto" w:val="clear"/>
        </w:rPr>
      </w:pPr>
      <w:r>
        <w:rPr>
          <w:rFonts w:eastAsia="Tahoma" w:cs="Lohit Devanagari" w:ascii="Times New Roman" w:hAnsi="Times New Roman"/>
          <w:color w:val="000000"/>
          <w:spacing w:val="0"/>
          <w:kern w:val="0"/>
          <w:sz w:val="28"/>
          <w:szCs w:val="20"/>
          <w:shd w:fill="auto" w:val="clear"/>
          <w:lang w:val="ru-RU" w:eastAsia="zh-CN" w:bidi="hi-IN"/>
        </w:rPr>
        <w:t>Сальдированный финансовый результат деятельности учтенного круга крупных и средних предприятий за январь 2024 года составил  6 707,4 млн рублей, что больше аналогичного периода прошлого года на 240,6%.</w:t>
      </w:r>
    </w:p>
    <w:p>
      <w:pPr>
        <w:pStyle w:val="BodyText"/>
        <w:spacing w:lineRule="auto" w:line="240" w:before="0" w:after="0"/>
        <w:ind w:firstLine="709" w:left="0" w:right="0"/>
        <w:jc w:val="both"/>
        <w:rPr>
          <w:highlight w:val="none"/>
          <w:shd w:fill="auto" w:val="clear"/>
        </w:rPr>
      </w:pPr>
      <w:r>
        <w:rPr>
          <w:rFonts w:eastAsia="Tahoma" w:cs="Lohit Devanagari" w:ascii="Times New Roman" w:hAnsi="Times New Roman"/>
          <w:color w:val="000000"/>
          <w:spacing w:val="0"/>
          <w:kern w:val="0"/>
          <w:sz w:val="28"/>
          <w:szCs w:val="20"/>
          <w:shd w:fill="auto" w:val="clear"/>
          <w:lang w:val="ru-RU" w:eastAsia="zh-CN" w:bidi="hi-IN"/>
        </w:rPr>
        <w:t>Положительный сальдированный результат получен по основным видам деятельности: «сельское, лесное хозяйство, охота, рыболовство и рыбоводство» – 2 006,6 млн рублей; «обрабатывающие производства» – 169,7 млн рублей; «транспортировка и хранение» – 65,5 млн рублей; «обеспечение электрической энергией, газом и паром» – 993,1 млн рублей; «строительство» – 255,8 млн руб.; «торговля оптовая и розничная; ремонт автотранспортных средств и мотоциклов» – 126,3 млн рублей; «деятельность гостиниц и предприятий общественного питания» – 74,5 млн рублей.</w:t>
      </w:r>
    </w:p>
    <w:p>
      <w:pPr>
        <w:pStyle w:val="BodyText"/>
        <w:spacing w:lineRule="auto" w:line="240" w:before="0" w:after="0"/>
        <w:ind w:firstLine="709" w:left="0" w:right="0"/>
        <w:jc w:val="both"/>
        <w:rPr>
          <w:highlight w:val="none"/>
          <w:shd w:fill="auto" w:val="clear"/>
        </w:rPr>
      </w:pPr>
      <w:r>
        <w:rPr>
          <w:rFonts w:eastAsia="Tahoma" w:cs="Lohit Devanagari" w:ascii="Times New Roman" w:hAnsi="Times New Roman"/>
          <w:color w:val="000000"/>
          <w:spacing w:val="0"/>
          <w:kern w:val="0"/>
          <w:sz w:val="28"/>
          <w:szCs w:val="20"/>
          <w:shd w:fill="auto" w:val="clear"/>
          <w:lang w:val="ru-RU" w:eastAsia="zh-CN" w:bidi="hi-IN"/>
        </w:rPr>
        <w:t>Удельный вес убыточных организаций в общем числе организаций составил 35,5% от их общего числа.</w:t>
      </w:r>
    </w:p>
    <w:p>
      <w:pPr>
        <w:pStyle w:val="BodyText"/>
        <w:spacing w:lineRule="auto" w:line="240" w:before="0" w:after="0"/>
        <w:ind w:firstLine="709" w:left="0" w:right="0"/>
        <w:jc w:val="both"/>
        <w:rPr>
          <w:highlight w:val="none"/>
          <w:shd w:fill="auto" w:val="clear"/>
        </w:rPr>
      </w:pPr>
      <w:r>
        <w:rPr>
          <w:rFonts w:eastAsia="Tahoma" w:cs="Lohit Devanagari" w:ascii="Times New Roman" w:hAnsi="Times New Roman"/>
          <w:color w:val="000000"/>
          <w:spacing w:val="0"/>
          <w:kern w:val="0"/>
          <w:sz w:val="28"/>
          <w:szCs w:val="20"/>
          <w:shd w:fill="auto" w:val="clear"/>
          <w:lang w:val="ru-RU" w:eastAsia="zh-CN" w:bidi="hi-IN"/>
        </w:rPr>
        <w:t xml:space="preserve">Дебиторская задолженность по состоянию на 01.02.2024 составила 121 512,7 млн рублей, что на 13,1% выше, чем на 01.02.2023. Удельный вес просроченной дебиторской задолженности в общем объеме задолженности на 01.02.2024 составил 4,1%. Суммарный объем просроченной дебиторской задолженности по сравнению с аналогичным периодом прошлого года увеличился на 24,9% и составил 5 073,2 млн рублей. </w:t>
      </w:r>
    </w:p>
    <w:p>
      <w:pPr>
        <w:pStyle w:val="BodyText"/>
        <w:spacing w:lineRule="auto" w:line="240" w:before="0" w:after="0"/>
        <w:ind w:firstLine="709" w:left="0" w:right="0"/>
        <w:jc w:val="both"/>
        <w:rPr>
          <w:highlight w:val="none"/>
          <w:shd w:fill="auto" w:val="clear"/>
        </w:rPr>
      </w:pPr>
      <w:r>
        <w:rPr>
          <w:rFonts w:eastAsia="Tahoma" w:cs="Lohit Devanagari" w:ascii="Times New Roman" w:hAnsi="Times New Roman"/>
          <w:color w:val="000000"/>
          <w:spacing w:val="0"/>
          <w:kern w:val="0"/>
          <w:sz w:val="28"/>
          <w:szCs w:val="20"/>
          <w:shd w:fill="auto" w:val="clear"/>
          <w:lang w:val="ru-RU" w:eastAsia="zh-CN" w:bidi="hi-IN"/>
        </w:rPr>
        <w:t xml:space="preserve">Кредиторская задолженность по состоянию на 01.02.2024 составила 103 182,3 млн рублей, что на 2,1% выше, чем на 01.02.2023. Удельный вес просроченной дебиторской задолженности в общем объеме задолженности на 01.02.2024 составил 1,3%. Суммарный объем просроченной дебиторской задолженности по сравнению с аналогичным периодом прошлого года </w:t>
      </w:r>
      <w:bookmarkStart w:id="0" w:name="_GoBack"/>
      <w:bookmarkEnd w:id="0"/>
      <w:r>
        <w:rPr>
          <w:rFonts w:eastAsia="Tahoma" w:cs="Lohit Devanagari" w:ascii="Times New Roman" w:hAnsi="Times New Roman"/>
          <w:color w:val="000000"/>
          <w:spacing w:val="0"/>
          <w:kern w:val="0"/>
          <w:sz w:val="28"/>
          <w:szCs w:val="20"/>
          <w:shd w:fill="auto" w:val="clear"/>
          <w:lang w:val="ru-RU" w:eastAsia="zh-CN" w:bidi="hi-IN"/>
        </w:rPr>
        <w:t xml:space="preserve">увеличился на 17,9% и составил 1 327,5 млн рублей. </w:t>
      </w:r>
    </w:p>
    <w:p>
      <w:pPr>
        <w:pStyle w:val="BodyText"/>
        <w:spacing w:lineRule="auto" w:line="240" w:before="0" w:after="0"/>
        <w:ind w:firstLine="709" w:left="0" w:right="0"/>
        <w:jc w:val="both"/>
        <w:rPr>
          <w:rFonts w:ascii="Times New Roman" w:hAnsi="Times New Roman" w:eastAsia="Tahoma" w:cs="Lohit Devanagari"/>
          <w:color w:val="000000"/>
          <w:spacing w:val="0"/>
          <w:kern w:val="0"/>
          <w:sz w:val="28"/>
          <w:szCs w:val="20"/>
          <w:highlight w:val="none"/>
          <w:shd w:fill="auto" w:val="clear"/>
          <w:lang w:val="ru-RU" w:eastAsia="zh-CN" w:bidi="hi-IN"/>
        </w:rPr>
      </w:pPr>
      <w:r>
        <w:rPr>
          <w:rFonts w:eastAsia="Tahoma" w:cs="Lohit Devanagari" w:ascii="Times New Roman" w:hAnsi="Times New Roman"/>
          <w:color w:val="000000"/>
          <w:spacing w:val="0"/>
          <w:kern w:val="0"/>
          <w:sz w:val="28"/>
          <w:szCs w:val="20"/>
          <w:shd w:fill="auto" w:val="clear"/>
          <w:lang w:val="ru-RU" w:eastAsia="zh-CN" w:bidi="hi-IN"/>
        </w:rPr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color w:val="000000"/>
          <w:spacing w:val="0"/>
          <w:sz w:val="28"/>
          <w:highlight w:val="none"/>
          <w:shd w:fill="auto" w:val="clear"/>
        </w:rPr>
      </w:pPr>
      <w:r>
        <w:rPr>
          <w:rFonts w:ascii="Times New Roman" w:hAnsi="Times New Roman"/>
          <w:color w:val="000000"/>
          <w:spacing w:val="0"/>
          <w:sz w:val="28"/>
          <w:shd w:fill="auto" w:val="clear"/>
        </w:rPr>
      </w:r>
      <w:r>
        <w:br w:type="page"/>
      </w:r>
    </w:p>
    <w:p>
      <w:pPr>
        <w:pStyle w:val="Normal"/>
        <w:spacing w:before="0" w:after="160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Производство важнейших видов промышленной продукции по Камчатскому краю</w:t>
      </w:r>
    </w:p>
    <w:p>
      <w:pPr>
        <w:pStyle w:val="Normal"/>
        <w:jc w:val="center"/>
        <w:rPr>
          <w:rFonts w:ascii="Times New Roman" w:hAnsi="Times New Roman"/>
          <w:b/>
          <w:highlight w:val="none"/>
          <w:shd w:fill="auto" w:val="clear"/>
        </w:rPr>
      </w:pPr>
      <w:r>
        <w:rPr>
          <w:rFonts w:ascii="Times New Roman" w:hAnsi="Times New Roman"/>
          <w:b/>
          <w:shd w:fill="auto" w:val="clear"/>
        </w:rPr>
      </w:r>
    </w:p>
    <w:tbl>
      <w:tblPr>
        <w:tblStyle w:val="Style_4"/>
        <w:tblW w:w="10056" w:type="dxa"/>
        <w:jc w:val="left"/>
        <w:tblInd w:w="14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3"/>
        <w:gridCol w:w="1360"/>
        <w:gridCol w:w="1065"/>
        <w:gridCol w:w="1849"/>
        <w:gridCol w:w="1869"/>
      </w:tblGrid>
      <w:tr>
        <w:trPr>
          <w:trHeight w:val="1240" w:hRule="atLeast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b/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/>
                <w:sz w:val="22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Наименование показателей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Единица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измерения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2023 год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январь-февраль 2024 года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январь -февраль 2024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 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г. в % к январю-февралю 2023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 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(в сопоставимых условиях)</w:t>
            </w:r>
          </w:p>
        </w:tc>
      </w:tr>
      <w:tr>
        <w:trPr>
          <w:trHeight w:val="540" w:hRule="atLeast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left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Электроэнергия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млн.кВт/ч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2 095,7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432,6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108,4</w:t>
            </w:r>
          </w:p>
        </w:tc>
      </w:tr>
      <w:tr>
        <w:trPr>
          <w:trHeight w:val="561" w:hRule="atLeast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left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Пар и горячая вода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тыс.Гкал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3 555,6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912,6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102,0</w:t>
            </w:r>
          </w:p>
        </w:tc>
      </w:tr>
      <w:tr>
        <w:trPr>
          <w:trHeight w:val="404" w:hRule="atLeast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left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Газ природный и попутный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млн.куб.м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*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*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89,3</w:t>
            </w:r>
          </w:p>
        </w:tc>
      </w:tr>
      <w:tr>
        <w:trPr>
          <w:trHeight w:val="405" w:hRule="atLeast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left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Уголь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тыс. тонн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*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*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200,0</w:t>
            </w:r>
          </w:p>
        </w:tc>
      </w:tr>
      <w:tr>
        <w:trPr>
          <w:trHeight w:val="361" w:hRule="atLeast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left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Лесоматериалы необработанные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тыс. плотных куб.м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25,9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3,8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72,8</w:t>
            </w:r>
          </w:p>
        </w:tc>
      </w:tr>
      <w:tr>
        <w:trPr>
          <w:trHeight w:val="441" w:hRule="atLeast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left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Лесоматериалы, продольно распиленные или расколотые, разделенные на слои или лущеные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тыс. куб.м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*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*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*</w:t>
            </w:r>
          </w:p>
        </w:tc>
      </w:tr>
      <w:tr>
        <w:trPr>
          <w:trHeight w:val="413" w:hRule="atLeast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left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Бетон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тыс. м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  <w:vertAlign w:val="superscript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161,1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*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*</w:t>
            </w:r>
          </w:p>
        </w:tc>
      </w:tr>
      <w:tr>
        <w:trPr>
          <w:trHeight w:val="421" w:hRule="atLeast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left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Мясо крупного рогатого скота, свинина, баранина, козлятина, конина и мясо прочих животных семейства лошадиных, оленина и мясо прочих животных семейства оленьих (оленевых) парные, остывшие или охлажденные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тыс. тонн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*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*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86,4</w:t>
            </w:r>
          </w:p>
        </w:tc>
      </w:tr>
      <w:tr>
        <w:trPr>
          <w:trHeight w:val="495" w:hRule="atLeast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left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Изделия колбасные, включая изделия колбасные для детского питания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тыс. тонн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2,7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0,4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109,5</w:t>
            </w:r>
          </w:p>
        </w:tc>
      </w:tr>
      <w:tr>
        <w:trPr>
          <w:trHeight w:val="427" w:hRule="atLeast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left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Молоко жидкое обработанное, включая молоко для детского питания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тыс. тонн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5,3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0,9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98,1</w:t>
            </w:r>
          </w:p>
        </w:tc>
      </w:tr>
      <w:tr>
        <w:trPr>
          <w:trHeight w:val="419" w:hRule="atLeast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left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Сыры, продукты сырные и творог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тыс. тонн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0,9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0,2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101,8</w:t>
            </w:r>
          </w:p>
        </w:tc>
      </w:tr>
      <w:tr>
        <w:trPr>
          <w:trHeight w:val="419" w:hRule="atLeast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left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Изделия хлебобулочные недлительного хранения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тыс. тонн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15,7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2,4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91,9</w:t>
            </w:r>
          </w:p>
        </w:tc>
      </w:tr>
      <w:tr>
        <w:trPr>
          <w:trHeight w:val="553" w:hRule="atLeast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left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Кондитерские изделия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тыс. тонн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1,1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0,2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69,5</w:t>
            </w:r>
          </w:p>
        </w:tc>
      </w:tr>
      <w:tr>
        <w:trPr>
          <w:trHeight w:val="425" w:hRule="atLeast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left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Воды минеральные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млн. полулитров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*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3,2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93,7</w:t>
            </w:r>
          </w:p>
        </w:tc>
      </w:tr>
      <w:tr>
        <w:trPr>
          <w:trHeight w:val="425" w:hRule="atLeast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left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Пиво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тыс. дкл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929,6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140,0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106,2</w:t>
            </w:r>
          </w:p>
        </w:tc>
      </w:tr>
      <w:tr>
        <w:trPr>
          <w:trHeight w:val="772" w:hRule="atLeast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left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Рыба переработанная и консервированная, ракообразные и моллюски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тыс. тонн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1 313,8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225,5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126,8</w:t>
            </w:r>
          </w:p>
        </w:tc>
      </w:tr>
      <w:tr>
        <w:trPr>
          <w:trHeight w:val="312" w:hRule="atLeast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left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Консервы рыбные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тыс. туб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5,2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1,0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115,7</w:t>
            </w:r>
          </w:p>
        </w:tc>
      </w:tr>
    </w:tbl>
    <w:p>
      <w:pPr>
        <w:pStyle w:val="Normal"/>
        <w:spacing w:lineRule="auto" w:line="240" w:before="40" w:after="0"/>
        <w:ind w:firstLine="425" w:left="0" w:right="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0"/>
          <w:shd w:fill="auto" w:val="clear"/>
        </w:rPr>
        <w:t>Примечание:</w:t>
      </w:r>
      <w:r>
        <w:rPr>
          <w:rFonts w:ascii="Times New Roman" w:hAnsi="Times New Roman"/>
          <w:shd w:fill="auto" w:val="clear"/>
        </w:rPr>
        <w:t> </w:t>
      </w:r>
      <w:r>
        <w:rPr>
          <w:rFonts w:ascii="Times New Roman" w:hAnsi="Times New Roman"/>
          <w:sz w:val="20"/>
          <w:shd w:fill="auto" w:val="clear"/>
        </w:rPr>
        <w:t>*</w:t>
      </w:r>
      <w:r>
        <w:rPr>
          <w:rFonts w:ascii="Times New Roman" w:hAnsi="Times New Roman"/>
          <w:shd w:fill="auto" w:val="clear"/>
        </w:rPr>
        <w:t> </w:t>
      </w:r>
      <w:r>
        <w:rPr>
          <w:rFonts w:ascii="Times New Roman" w:hAnsi="Times New Roman"/>
          <w:sz w:val="16"/>
          <w:shd w:fill="auto" w:val="clear"/>
        </w:rPr>
        <w:t>–</w:t>
      </w:r>
      <w:r>
        <w:rPr>
          <w:rFonts w:ascii="Times New Roman" w:hAnsi="Times New Roman"/>
          <w:shd w:fill="auto" w:val="clear"/>
        </w:rPr>
        <w:t> </w:t>
      </w:r>
      <w:r>
        <w:rPr>
          <w:rFonts w:ascii="Times New Roman" w:hAnsi="Times New Roman"/>
          <w:sz w:val="20"/>
          <w:shd w:fill="auto" w:val="clear"/>
        </w:rPr>
        <w:t>информация не публикуется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 282-ФЗ «Об официальном статистическом учете и системе государственной статистики в Российской Федерации».</w:t>
      </w:r>
      <w:r>
        <w:br w:type="page"/>
      </w:r>
    </w:p>
    <w:p>
      <w:pPr>
        <w:pStyle w:val="Normal"/>
        <w:spacing w:before="0" w:after="160"/>
        <w:jc w:val="center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Макроэкономические показатели по Ка</w:t>
      </w:r>
      <w:r>
        <w:rPr>
          <w:rFonts w:ascii="Times New Roman" w:hAnsi="Times New Roman"/>
          <w:sz w:val="28"/>
          <w:shd w:fill="auto" w:val="clear"/>
        </w:rPr>
        <w:t>м</w:t>
      </w:r>
      <w:r>
        <w:rPr>
          <w:rFonts w:ascii="Times New Roman" w:hAnsi="Times New Roman"/>
          <w:sz w:val="28"/>
          <w:shd w:fill="auto" w:val="clear"/>
        </w:rPr>
        <w:t>чатскому краю</w:t>
      </w:r>
    </w:p>
    <w:p>
      <w:pPr>
        <w:pStyle w:val="Normal"/>
        <w:spacing w:lineRule="auto" w:line="240" w:before="40" w:after="0"/>
        <w:jc w:val="both"/>
        <w:rPr>
          <w:rFonts w:ascii="Times New Roman" w:hAnsi="Times New Roman"/>
          <w:sz w:val="28"/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</w:r>
    </w:p>
    <w:tbl>
      <w:tblPr>
        <w:tblStyle w:val="Style_4"/>
        <w:tblW w:w="10097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7"/>
        <w:gridCol w:w="1337"/>
        <w:gridCol w:w="1750"/>
        <w:gridCol w:w="2022"/>
      </w:tblGrid>
      <w:tr>
        <w:trPr>
          <w:tblHeader w:val="true"/>
          <w:trHeight w:val="544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Показатели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2023 год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 xml:space="preserve">январь-февраль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2024 года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январь-февраль 2024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 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г. в % к январю-февралю 2023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 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(в сопоставимых условиях)</w:t>
            </w:r>
          </w:p>
        </w:tc>
      </w:tr>
      <w:tr>
        <w:trPr>
          <w:trHeight w:val="233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left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Индекс промышленного производства, %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86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129,5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86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114,0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-</w:t>
            </w:r>
          </w:p>
        </w:tc>
      </w:tr>
      <w:tr>
        <w:trPr>
          <w:trHeight w:val="683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both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Объем отгруженных товаров собственного производства выполненных работ и услуг по чистым видам деятельности, млн руб.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86"/>
              <w:jc w:val="center"/>
              <w:rPr>
                <w:rFonts w:ascii="Times New Roman" w:hAnsi="Times New Roman"/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hd w:fill="auto" w:val="clear"/>
              </w:rPr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86"/>
              <w:jc w:val="center"/>
              <w:rPr>
                <w:rFonts w:ascii="Times New Roman" w:hAnsi="Times New Roman"/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hd w:fill="auto" w:val="clear"/>
              </w:rPr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hd w:fill="auto" w:val="clear"/>
              </w:rPr>
            </w:r>
          </w:p>
        </w:tc>
      </w:tr>
      <w:tr>
        <w:trPr>
          <w:trHeight w:val="201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170" w:left="0" w:right="0"/>
              <w:jc w:val="both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Добыча полезных ископаемых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86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47 673,8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86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9 429,4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86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126,3</w:t>
            </w:r>
          </w:p>
        </w:tc>
      </w:tr>
      <w:tr>
        <w:trPr>
          <w:trHeight w:val="130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283" w:right="0"/>
              <w:jc w:val="both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- угля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86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*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86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*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86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*</w:t>
            </w:r>
          </w:p>
        </w:tc>
      </w:tr>
      <w:tr>
        <w:trPr>
          <w:trHeight w:val="130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283" w:right="0"/>
              <w:jc w:val="both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- природного газа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86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*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86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*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86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*</w:t>
            </w:r>
          </w:p>
        </w:tc>
      </w:tr>
      <w:tr>
        <w:trPr>
          <w:trHeight w:val="130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283" w:right="0"/>
              <w:jc w:val="both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- металлических руд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86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42 809,7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86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8 883,9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86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128,8</w:t>
            </w:r>
          </w:p>
        </w:tc>
      </w:tr>
      <w:tr>
        <w:trPr>
          <w:trHeight w:val="204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283" w:right="0"/>
              <w:jc w:val="both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- прочих полезных ископаемых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86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1 313,7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86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102,3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86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68,4</w:t>
            </w:r>
          </w:p>
        </w:tc>
      </w:tr>
      <w:tr>
        <w:trPr>
          <w:trHeight w:val="158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170" w:left="0" w:right="0"/>
              <w:jc w:val="both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Обрабатывающие производства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174 168,1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20 759,1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114,2</w:t>
            </w:r>
          </w:p>
        </w:tc>
      </w:tr>
      <w:tr>
        <w:trPr>
          <w:trHeight w:val="130" w:hRule="atLeast"/>
        </w:trPr>
        <w:tc>
          <w:tcPr>
            <w:tcW w:w="498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283" w:right="0"/>
              <w:jc w:val="both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- производство пищевых продуктов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164 348,2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19 486,7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119,6</w:t>
            </w:r>
          </w:p>
        </w:tc>
      </w:tr>
      <w:tr>
        <w:trPr>
          <w:trHeight w:val="209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283" w:right="0"/>
              <w:jc w:val="both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- производство напитков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1 189,5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169,0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97,5</w:t>
            </w:r>
          </w:p>
        </w:tc>
      </w:tr>
      <w:tr>
        <w:trPr>
          <w:trHeight w:val="130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283" w:right="0"/>
              <w:jc w:val="both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- обработка древесины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**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4,1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37,2</w:t>
            </w:r>
          </w:p>
        </w:tc>
      </w:tr>
      <w:tr>
        <w:trPr>
          <w:trHeight w:val="130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283" w:right="0"/>
              <w:jc w:val="both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- деятельность полиграфическая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188,9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31,7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88,3</w:t>
            </w:r>
          </w:p>
        </w:tc>
      </w:tr>
      <w:tr>
        <w:trPr>
          <w:trHeight w:val="130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283" w:right="0"/>
              <w:jc w:val="both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- производство химических веществ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**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**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96,3</w:t>
            </w:r>
          </w:p>
        </w:tc>
      </w:tr>
      <w:tr>
        <w:trPr>
          <w:trHeight w:val="130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283" w:right="0"/>
              <w:jc w:val="both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- производство резиновых и пластмассовых изделий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**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28,8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93,9</w:t>
            </w:r>
          </w:p>
        </w:tc>
      </w:tr>
      <w:tr>
        <w:trPr>
          <w:trHeight w:val="244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283" w:right="0"/>
              <w:jc w:val="both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- производство прочей неметаллической минеральной продукции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1 585,0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154,8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100,4</w:t>
            </w:r>
          </w:p>
        </w:tc>
      </w:tr>
      <w:tr>
        <w:trPr>
          <w:trHeight w:val="130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283" w:right="0"/>
              <w:jc w:val="both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- ремонт и монтаж машин и оборудования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5 190,6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666,7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45,1</w:t>
            </w:r>
          </w:p>
        </w:tc>
      </w:tr>
      <w:tr>
        <w:trPr>
          <w:trHeight w:val="245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170" w:right="0"/>
              <w:jc w:val="both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Обеспечение электрической энергией, газом и паром, кондиционирование воздуха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26 048,1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5 580,5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105,4</w:t>
            </w:r>
          </w:p>
        </w:tc>
      </w:tr>
      <w:tr>
        <w:trPr>
          <w:trHeight w:val="750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170" w:right="0"/>
              <w:jc w:val="both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Водоснабжение; водоотведение; организация сбора и утилизации отходов, деятельность по ликвидации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4 082,1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650,5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98,8</w:t>
            </w:r>
          </w:p>
        </w:tc>
      </w:tr>
      <w:tr>
        <w:trPr>
          <w:trHeight w:val="244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both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Объем инвестиций в основной капитал – всего,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both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млн руб.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128 156,7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-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124,1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  <w:vertAlign w:val="superscript"/>
              </w:rPr>
              <w:t>3</w:t>
            </w:r>
          </w:p>
        </w:tc>
      </w:tr>
      <w:tr>
        <w:trPr>
          <w:trHeight w:val="158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both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Ввод жилья, тыс. м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  <w:vertAlign w:val="superscript"/>
              </w:rPr>
              <w:t>2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87,0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20,3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100,8</w:t>
            </w:r>
          </w:p>
        </w:tc>
      </w:tr>
      <w:tr>
        <w:trPr>
          <w:trHeight w:val="159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both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Валовая продукция сельского хозяйства, млн руб.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11 650,3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-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96,5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  <w:vertAlign w:val="superscript"/>
              </w:rPr>
              <w:t>3</w:t>
            </w:r>
          </w:p>
        </w:tc>
      </w:tr>
      <w:tr>
        <w:trPr>
          <w:trHeight w:val="244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both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Объем производства продукции животноводства: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86"/>
              <w:jc w:val="center"/>
              <w:rPr>
                <w:rFonts w:ascii="Times New Roman" w:hAnsi="Times New Roman"/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hd w:fill="auto" w:val="clear"/>
              </w:rPr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86"/>
              <w:jc w:val="center"/>
              <w:rPr>
                <w:rFonts w:ascii="Times New Roman" w:hAnsi="Times New Roman"/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hd w:fill="auto" w:val="clear"/>
              </w:rPr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hd w:fill="auto" w:val="clear"/>
              </w:rPr>
            </w:r>
          </w:p>
        </w:tc>
      </w:tr>
      <w:tr>
        <w:trPr>
          <w:trHeight w:val="130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170" w:left="0" w:right="0"/>
              <w:jc w:val="both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мясо, тыс. тонн (живой вес)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9,3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1,2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96,5</w:t>
            </w:r>
          </w:p>
        </w:tc>
      </w:tr>
      <w:tr>
        <w:trPr>
          <w:trHeight w:val="241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170" w:left="0" w:right="0"/>
              <w:jc w:val="both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молоко, тыс. тонн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22,3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3,4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95,4</w:t>
            </w:r>
          </w:p>
        </w:tc>
      </w:tr>
      <w:tr>
        <w:trPr>
          <w:trHeight w:val="130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170" w:left="0" w:right="0"/>
              <w:jc w:val="both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яйца, млн штук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*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*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115,2</w:t>
            </w:r>
          </w:p>
        </w:tc>
      </w:tr>
      <w:tr>
        <w:trPr>
          <w:trHeight w:val="244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both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Объем реализации платных услуг населению во всех каналах реализации – всего, млн руб.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33 274,1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5 938,3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103,2</w:t>
            </w:r>
          </w:p>
        </w:tc>
      </w:tr>
      <w:tr>
        <w:trPr>
          <w:trHeight w:val="158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170" w:left="0" w:right="0"/>
              <w:jc w:val="both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из него: бытовые услуги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2 035,4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371,2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106,8</w:t>
            </w:r>
          </w:p>
        </w:tc>
      </w:tr>
      <w:tr>
        <w:trPr>
          <w:trHeight w:val="295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both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Оборот розничной торговли – всего, млн руб.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95 275,0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16 594,4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109,8</w:t>
            </w:r>
          </w:p>
        </w:tc>
      </w:tr>
      <w:tr>
        <w:trPr>
          <w:trHeight w:val="200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both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Оборот общественного питания, млн руб.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9 096,7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1 183,7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75,7</w:t>
            </w:r>
          </w:p>
        </w:tc>
      </w:tr>
      <w:tr>
        <w:trPr>
          <w:trHeight w:val="244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both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Среднемесячная номинальная заработная плата (с учетом малых предприятий), руб.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119 308,0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  <w:shd w:fill="auto" w:val="clear"/>
              </w:rPr>
              <w:t>119 784,8</w:t>
            </w:r>
            <w:r>
              <w:rPr>
                <w:rFonts w:ascii="Times New Roman" w:hAnsi="Times New Roman"/>
                <w:kern w:val="0"/>
                <w:sz w:val="22"/>
                <w:szCs w:val="20"/>
                <w:shd w:fill="auto" w:val="clear"/>
                <w:vertAlign w:val="superscript"/>
              </w:rPr>
              <w:t>1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109,0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  <w:vertAlign w:val="superscript"/>
              </w:rPr>
              <w:t>2</w:t>
            </w:r>
          </w:p>
        </w:tc>
      </w:tr>
      <w:tr>
        <w:trPr>
          <w:trHeight w:val="244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both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Задолженность по заработной плате (по учтенному кругу предприятий) на конец периода, млн руб.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86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2,4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86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2,6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81,2</w:t>
            </w:r>
          </w:p>
        </w:tc>
      </w:tr>
      <w:tr>
        <w:trPr>
          <w:trHeight w:val="159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170" w:left="0" w:right="0"/>
              <w:jc w:val="both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в том числе по видам деятельности: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hd w:fill="auto" w:val="clear"/>
              </w:rPr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hd w:fill="auto" w:val="clear"/>
              </w:rPr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hd w:fill="auto" w:val="clear"/>
              </w:rPr>
            </w:r>
          </w:p>
        </w:tc>
      </w:tr>
      <w:tr>
        <w:trPr>
          <w:trHeight w:val="159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283" w:left="0" w:right="0"/>
              <w:jc w:val="both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Транспорт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2,4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2,4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75,0</w:t>
            </w:r>
          </w:p>
        </w:tc>
      </w:tr>
      <w:tr>
        <w:trPr>
          <w:trHeight w:val="159" w:hRule="atLeast"/>
        </w:trPr>
        <w:tc>
          <w:tcPr>
            <w:tcW w:w="49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283" w:left="0" w:right="0"/>
              <w:jc w:val="both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Добыча полезных ископаемых</w:t>
            </w:r>
          </w:p>
        </w:tc>
        <w:tc>
          <w:tcPr>
            <w:tcW w:w="13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-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0,2</w:t>
            </w:r>
          </w:p>
        </w:tc>
        <w:tc>
          <w:tcPr>
            <w:tcW w:w="20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left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Задолженность по заработной плате из-за недофинансирования бюджетов всех уровней, млн руб.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-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-</w:t>
            </w:r>
          </w:p>
        </w:tc>
      </w:tr>
      <w:tr>
        <w:trPr>
          <w:trHeight w:val="130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170" w:left="0" w:right="0"/>
              <w:jc w:val="both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в том числе: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hd w:fill="auto" w:val="clear"/>
              </w:rPr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hd w:fill="auto" w:val="clear"/>
              </w:rPr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hd w:fill="auto" w:val="clear"/>
              </w:rPr>
            </w:r>
          </w:p>
        </w:tc>
      </w:tr>
      <w:tr>
        <w:trPr>
          <w:trHeight w:val="130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283" w:left="0" w:right="0"/>
              <w:jc w:val="both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из федерального бюджета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-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-</w:t>
            </w:r>
          </w:p>
        </w:tc>
      </w:tr>
      <w:tr>
        <w:trPr>
          <w:trHeight w:val="130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283" w:left="0" w:right="0"/>
              <w:jc w:val="both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из местных бюджетов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-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-</w:t>
            </w:r>
          </w:p>
        </w:tc>
      </w:tr>
      <w:tr>
        <w:trPr>
          <w:trHeight w:val="130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283" w:left="0" w:right="0"/>
              <w:jc w:val="both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из бюджета субъекта РФ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-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both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Задолженность по заработной плате из-за отсутствия собственных средств, млн руб.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86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2,4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86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5,3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165,6</w:t>
            </w:r>
          </w:p>
        </w:tc>
      </w:tr>
      <w:tr>
        <w:trPr>
          <w:trHeight w:val="245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both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Грузооборот (данные по автомобильному транспорту), млн т/км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40,0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14,7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рост в 4,8 раз</w:t>
            </w:r>
          </w:p>
        </w:tc>
      </w:tr>
      <w:tr>
        <w:trPr>
          <w:trHeight w:val="244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both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Пассажирооборот (данные по автомобильному транспорту), млн пасс. /км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284,6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43,7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102,7</w:t>
            </w:r>
          </w:p>
        </w:tc>
      </w:tr>
      <w:tr>
        <w:trPr>
          <w:trHeight w:val="244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both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Сальдированный финансовый результат (прибыль, убыток) – всего, млн руб.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42 079,1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6 707,4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  <w:vertAlign w:val="superscript"/>
              </w:rPr>
              <w:t>1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  <w:shd w:fill="auto" w:val="clear"/>
              </w:rPr>
              <w:t>240,6</w:t>
            </w:r>
            <w:r>
              <w:rPr>
                <w:rFonts w:ascii="Times New Roman" w:hAnsi="Times New Roman"/>
                <w:kern w:val="0"/>
                <w:sz w:val="22"/>
                <w:szCs w:val="20"/>
                <w:shd w:fill="auto" w:val="clear"/>
                <w:vertAlign w:val="superscript"/>
              </w:rPr>
              <w:t>2</w:t>
            </w:r>
          </w:p>
        </w:tc>
      </w:tr>
      <w:tr>
        <w:trPr>
          <w:trHeight w:val="130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170" w:left="0" w:right="0"/>
              <w:jc w:val="both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в том числе: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hd w:fill="auto" w:val="clear"/>
              </w:rPr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  <w:highlight w:val="none"/>
                <w:shd w:fill="auto" w:val="clear"/>
                <w:vertAlign w:val="superscript"/>
              </w:rPr>
            </w:pPr>
            <w:r>
              <w:rPr>
                <w:rFonts w:ascii="Times New Roman" w:hAnsi="Times New Roman"/>
                <w:sz w:val="22"/>
                <w:shd w:fill="auto" w:val="clear"/>
                <w:vertAlign w:val="superscript"/>
              </w:rPr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ind w:hanging="0" w:left="0" w:right="0"/>
              <w:jc w:val="center"/>
              <w:rPr>
                <w:rFonts w:ascii="Times New Roman" w:hAnsi="Times New Roman"/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hd w:fill="auto" w:val="clear"/>
              </w:rPr>
            </w:r>
          </w:p>
        </w:tc>
      </w:tr>
      <w:tr>
        <w:trPr>
          <w:trHeight w:val="476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283" w:right="0"/>
              <w:jc w:val="both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Сельское, лесное хозяйство, охота, рыболовство и рыбоводство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21 650,2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2 006,6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  <w:vertAlign w:val="superscript"/>
              </w:rPr>
              <w:t>1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kern w:val="0"/>
                <w:position w:val="0"/>
                <w:sz w:val="22"/>
                <w:sz w:val="22"/>
                <w:szCs w:val="20"/>
                <w:shd w:fill="auto" w:val="clear"/>
                <w:vertAlign w:val="baseline"/>
              </w:rPr>
              <w:t>153,0</w:t>
            </w:r>
            <w:r>
              <w:rPr>
                <w:rFonts w:ascii="Times New Roman" w:hAnsi="Times New Roman"/>
                <w:kern w:val="0"/>
                <w:sz w:val="22"/>
                <w:szCs w:val="20"/>
                <w:shd w:fill="auto" w:val="clear"/>
                <w:vertAlign w:val="superscript"/>
              </w:rPr>
              <w:t>2</w:t>
            </w:r>
          </w:p>
        </w:tc>
      </w:tr>
      <w:tr>
        <w:trPr>
          <w:trHeight w:val="319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283" w:left="0" w:right="0"/>
              <w:jc w:val="both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Добыча полезных ископаемых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5 245,5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  <w:shd w:fill="auto" w:val="clear"/>
              </w:rPr>
              <w:t>-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position w:val="0"/>
                <w:sz w:val="22"/>
                <w:sz w:val="22"/>
                <w:highlight w:val="none"/>
                <w:shd w:fill="auto" w:val="clear"/>
                <w:vertAlign w:val="baseline"/>
              </w:rPr>
            </w:pPr>
            <w:r>
              <w:rPr>
                <w:rFonts w:ascii="Times New Roman" w:hAnsi="Times New Roman"/>
                <w:kern w:val="0"/>
                <w:position w:val="0"/>
                <w:sz w:val="22"/>
                <w:sz w:val="22"/>
                <w:szCs w:val="20"/>
                <w:shd w:fill="auto" w:val="clear"/>
                <w:vertAlign w:val="baseline"/>
              </w:rPr>
              <w:t>-</w:t>
            </w:r>
          </w:p>
        </w:tc>
      </w:tr>
      <w:tr>
        <w:trPr>
          <w:trHeight w:val="130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283" w:left="0" w:right="0"/>
              <w:jc w:val="both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Обрабатывающие производства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6 590,2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169,7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  <w:vertAlign w:val="superscript"/>
              </w:rPr>
              <w:t>1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kern w:val="0"/>
                <w:position w:val="0"/>
                <w:sz w:val="22"/>
                <w:sz w:val="22"/>
                <w:szCs w:val="20"/>
                <w:shd w:fill="auto" w:val="clear"/>
                <w:vertAlign w:val="baseline"/>
              </w:rPr>
              <w:t>37,9</w:t>
            </w:r>
            <w:r>
              <w:rPr>
                <w:rFonts w:ascii="Times New Roman" w:hAnsi="Times New Roman"/>
                <w:kern w:val="0"/>
                <w:sz w:val="22"/>
                <w:szCs w:val="20"/>
                <w:shd w:fill="auto" w:val="clear"/>
                <w:vertAlign w:val="superscript"/>
              </w:rPr>
              <w:t>2</w:t>
            </w:r>
          </w:p>
        </w:tc>
      </w:tr>
      <w:tr>
        <w:trPr>
          <w:trHeight w:val="244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283" w:right="0"/>
              <w:jc w:val="both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2 484,4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Theme="minorAscii" w:hAnsiTheme="minorHAnsi"/>
                <w:sz w:val="22"/>
                <w:highlight w:val="none"/>
                <w:shd w:fill="auto" w:val="clear"/>
              </w:rPr>
            </w:pPr>
            <w:r>
              <w:rPr>
                <w:rFonts w:asciiTheme="minorAscii" w:hAnsiTheme="minorHAnsi" w:ascii="Times New Roman" w:hAnsi="Times New Roman"/>
                <w:kern w:val="0"/>
                <w:sz w:val="22"/>
                <w:szCs w:val="20"/>
                <w:shd w:fill="auto" w:val="clear"/>
              </w:rPr>
              <w:t>993,1</w:t>
            </w:r>
            <w:r>
              <w:rPr>
                <w:rFonts w:asciiTheme="minorAscii" w:hAnsiTheme="minorHAnsi" w:ascii="Times New Roman" w:hAnsi="Times New Roman"/>
                <w:kern w:val="0"/>
                <w:sz w:val="22"/>
                <w:szCs w:val="20"/>
                <w:shd w:fill="auto" w:val="clear"/>
                <w:vertAlign w:val="superscript"/>
              </w:rPr>
              <w:t>1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Theme="minorAscii" w:hAnsiTheme="minorHAnsi"/>
                <w:sz w:val="22"/>
                <w:highlight w:val="none"/>
                <w:shd w:fill="auto" w:val="clear"/>
              </w:rPr>
            </w:pPr>
            <w:r>
              <w:rPr>
                <w:rFonts w:asciiTheme="minorAscii" w:hAnsiTheme="minorHAnsi" w:ascii="Times New Roman" w:hAnsi="Times New Roman"/>
                <w:kern w:val="0"/>
                <w:sz w:val="22"/>
                <w:szCs w:val="20"/>
                <w:shd w:fill="auto" w:val="clear"/>
              </w:rPr>
              <w:t>88,4</w:t>
            </w:r>
            <w:r>
              <w:rPr>
                <w:rFonts w:asciiTheme="minorAscii" w:hAnsiTheme="minorHAnsi" w:ascii="Times New Roman" w:hAnsi="Times New Roman"/>
                <w:kern w:val="0"/>
                <w:sz w:val="22"/>
                <w:szCs w:val="20"/>
                <w:shd w:fill="auto" w:val="clear"/>
                <w:vertAlign w:val="superscript"/>
              </w:rPr>
              <w:t>2</w:t>
            </w:r>
          </w:p>
        </w:tc>
      </w:tr>
      <w:tr>
        <w:trPr>
          <w:trHeight w:val="752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283" w:right="0"/>
              <w:jc w:val="both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Водоснабжение, водоотведение, сбор и утилизация отходов, деятельность по ликвидации загрязнений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74,2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Theme="minorAscii" w:hAnsiTheme="minorHAnsi"/>
                <w:sz w:val="22"/>
                <w:highlight w:val="none"/>
                <w:shd w:fill="auto" w:val="clear"/>
              </w:rPr>
            </w:pPr>
            <w:r>
              <w:rPr>
                <w:rFonts w:asciiTheme="minorAscii" w:hAnsiTheme="minorHAnsi" w:ascii="Times New Roman" w:hAnsi="Times New Roman"/>
                <w:kern w:val="0"/>
                <w:sz w:val="22"/>
                <w:szCs w:val="20"/>
                <w:shd w:fill="auto" w:val="clear"/>
              </w:rPr>
              <w:t>-</w:t>
            </w:r>
            <w:r>
              <w:rPr>
                <w:rFonts w:asciiTheme="minorAscii" w:hAnsiTheme="minorHAnsi" w:ascii="Times New Roman" w:hAnsi="Times New Roman"/>
                <w:kern w:val="0"/>
                <w:sz w:val="22"/>
                <w:szCs w:val="20"/>
                <w:shd w:fill="auto" w:val="clear"/>
              </w:rPr>
              <w:t>9,6</w:t>
            </w:r>
            <w:r>
              <w:rPr>
                <w:rFonts w:asciiTheme="minorAscii" w:hAnsiTheme="minorHAnsi" w:ascii="Times New Roman" w:hAnsi="Times New Roman"/>
                <w:kern w:val="0"/>
                <w:sz w:val="22"/>
                <w:szCs w:val="20"/>
                <w:shd w:fill="auto" w:val="clear"/>
                <w:vertAlign w:val="superscript"/>
              </w:rPr>
              <w:t>1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Theme="minorAscii" w:hAnsiTheme="minorHAnsi"/>
                <w:position w:val="0"/>
                <w:sz w:val="22"/>
                <w:sz w:val="22"/>
                <w:highlight w:val="none"/>
                <w:shd w:fill="auto" w:val="clear"/>
                <w:vertAlign w:val="baseline"/>
              </w:rPr>
            </w:pPr>
            <w:r>
              <w:rPr>
                <w:rFonts w:asciiTheme="minorAscii" w:hAnsiTheme="minorHAnsi" w:ascii="Times New Roman" w:hAnsi="Times New Roman"/>
                <w:kern w:val="0"/>
                <w:position w:val="0"/>
                <w:sz w:val="22"/>
                <w:sz w:val="22"/>
                <w:szCs w:val="20"/>
                <w:shd w:fill="auto" w:val="clear"/>
                <w:vertAlign w:val="baseline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283" w:left="0" w:right="0"/>
              <w:jc w:val="both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Строительство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763,8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Theme="minorAscii" w:hAnsiTheme="minorHAnsi"/>
                <w:sz w:val="22"/>
                <w:highlight w:val="none"/>
                <w:shd w:fill="auto" w:val="clear"/>
              </w:rPr>
            </w:pPr>
            <w:r>
              <w:rPr>
                <w:rFonts w:asciiTheme="minorAscii" w:hAnsiTheme="minorHAnsi" w:ascii="Times New Roman" w:hAnsi="Times New Roman"/>
                <w:kern w:val="0"/>
                <w:sz w:val="22"/>
                <w:szCs w:val="20"/>
                <w:shd w:fill="auto" w:val="clear"/>
              </w:rPr>
              <w:t>255,8</w:t>
            </w:r>
            <w:r>
              <w:rPr>
                <w:rFonts w:asciiTheme="minorAscii" w:hAnsiTheme="minorHAnsi" w:ascii="Times New Roman" w:hAnsi="Times New Roman"/>
                <w:kern w:val="0"/>
                <w:sz w:val="22"/>
                <w:szCs w:val="20"/>
                <w:shd w:fill="auto" w:val="clear"/>
                <w:vertAlign w:val="superscript"/>
              </w:rPr>
              <w:t>1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Theme="minorAscii" w:hAnsiTheme="minorHAnsi"/>
                <w:sz w:val="22"/>
                <w:highlight w:val="none"/>
                <w:shd w:fill="auto" w:val="clear"/>
              </w:rPr>
            </w:pPr>
            <w:r>
              <w:rPr>
                <w:rFonts w:asciiTheme="minorAscii" w:hAnsiTheme="minorHAnsi" w:ascii="Times New Roman" w:hAnsi="Times New Roman"/>
                <w:kern w:val="0"/>
                <w:sz w:val="22"/>
                <w:szCs w:val="20"/>
                <w:shd w:fill="auto" w:val="clear"/>
              </w:rPr>
              <w:t>334,2</w:t>
            </w:r>
            <w:r>
              <w:rPr>
                <w:rFonts w:asciiTheme="minorAscii" w:hAnsiTheme="minorHAnsi" w:ascii="Times New Roman" w:hAnsi="Times New Roman"/>
                <w:kern w:val="0"/>
                <w:sz w:val="22"/>
                <w:szCs w:val="20"/>
                <w:shd w:fill="auto" w:val="clear"/>
                <w:vertAlign w:val="superscript"/>
              </w:rPr>
              <w:t>2</w:t>
            </w:r>
          </w:p>
        </w:tc>
      </w:tr>
      <w:tr>
        <w:trPr>
          <w:trHeight w:val="449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283" w:right="0"/>
              <w:jc w:val="both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2 117,0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Theme="minorAscii" w:hAnsiTheme="minorHAnsi"/>
                <w:sz w:val="22"/>
                <w:highlight w:val="none"/>
                <w:shd w:fill="auto" w:val="clear"/>
              </w:rPr>
            </w:pPr>
            <w:r>
              <w:rPr>
                <w:rFonts w:asciiTheme="minorAscii" w:hAnsiTheme="minorHAnsi" w:ascii="Times New Roman" w:hAnsi="Times New Roman"/>
                <w:kern w:val="0"/>
                <w:sz w:val="22"/>
                <w:szCs w:val="20"/>
                <w:shd w:fill="auto" w:val="clear"/>
              </w:rPr>
              <w:t>126,3</w:t>
            </w:r>
            <w:r>
              <w:rPr>
                <w:rFonts w:asciiTheme="minorAscii" w:hAnsiTheme="minorHAnsi" w:ascii="Times New Roman" w:hAnsi="Times New Roman"/>
                <w:kern w:val="0"/>
                <w:sz w:val="22"/>
                <w:szCs w:val="20"/>
                <w:shd w:fill="auto" w:val="clear"/>
                <w:vertAlign w:val="superscript"/>
              </w:rPr>
              <w:t>1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Theme="minorAscii" w:hAnsiTheme="minorHAnsi"/>
                <w:sz w:val="22"/>
                <w:highlight w:val="none"/>
                <w:shd w:fill="auto" w:val="clear"/>
              </w:rPr>
            </w:pPr>
            <w:r>
              <w:rPr>
                <w:rFonts w:asciiTheme="minorAscii" w:hAnsiTheme="minorHAnsi" w:ascii="Times New Roman" w:hAnsi="Times New Roman"/>
                <w:kern w:val="0"/>
                <w:sz w:val="22"/>
                <w:szCs w:val="20"/>
                <w:shd w:fill="auto" w:val="clear"/>
              </w:rPr>
              <w:t>64,3</w:t>
            </w:r>
            <w:r>
              <w:rPr>
                <w:rFonts w:asciiTheme="minorAscii" w:hAnsiTheme="minorHAnsi" w:ascii="Times New Roman" w:hAnsi="Times New Roman"/>
                <w:kern w:val="0"/>
                <w:sz w:val="22"/>
                <w:szCs w:val="20"/>
                <w:shd w:fill="auto" w:val="clear"/>
                <w:vertAlign w:val="superscript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283" w:left="0" w:right="0"/>
              <w:jc w:val="both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Транспортировка и хранение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1 565,1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Theme="minorAscii" w:hAnsiTheme="minorHAnsi"/>
                <w:sz w:val="22"/>
                <w:highlight w:val="none"/>
                <w:shd w:fill="auto" w:val="clear"/>
              </w:rPr>
            </w:pPr>
            <w:r>
              <w:rPr>
                <w:rFonts w:asciiTheme="minorAscii" w:hAnsiTheme="minorHAnsi" w:ascii="Times New Roman" w:hAnsi="Times New Roman"/>
                <w:kern w:val="0"/>
                <w:sz w:val="22"/>
                <w:szCs w:val="20"/>
                <w:shd w:fill="auto" w:val="clear"/>
              </w:rPr>
              <w:t>65,5</w:t>
            </w:r>
            <w:r>
              <w:rPr>
                <w:rFonts w:asciiTheme="minorAscii" w:hAnsiTheme="minorHAnsi" w:ascii="Times New Roman" w:hAnsi="Times New Roman"/>
                <w:kern w:val="0"/>
                <w:sz w:val="22"/>
                <w:szCs w:val="20"/>
                <w:shd w:fill="auto" w:val="clear"/>
                <w:vertAlign w:val="superscript"/>
              </w:rPr>
              <w:t>1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Theme="minorAscii" w:hAnsiTheme="minorHAnsi"/>
                <w:sz w:val="22"/>
                <w:highlight w:val="none"/>
                <w:shd w:fill="auto" w:val="clear"/>
              </w:rPr>
            </w:pPr>
            <w:r>
              <w:rPr>
                <w:rFonts w:asciiTheme="minorAscii" w:hAnsiTheme="minorHAnsi" w:ascii="Times New Roman" w:hAnsi="Times New Roman"/>
                <w:kern w:val="0"/>
                <w:sz w:val="22"/>
                <w:szCs w:val="20"/>
                <w:shd w:fill="auto" w:val="clear"/>
              </w:rPr>
              <w:t>40,8</w:t>
            </w:r>
            <w:r>
              <w:rPr>
                <w:rFonts w:asciiTheme="minorAscii" w:hAnsiTheme="minorHAnsi" w:ascii="Times New Roman" w:hAnsi="Times New Roman"/>
                <w:kern w:val="0"/>
                <w:sz w:val="22"/>
                <w:szCs w:val="20"/>
                <w:shd w:fill="auto" w:val="clear"/>
                <w:vertAlign w:val="superscript"/>
              </w:rPr>
              <w:t>2</w:t>
            </w:r>
          </w:p>
        </w:tc>
      </w:tr>
      <w:tr>
        <w:trPr>
          <w:trHeight w:val="455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283" w:right="0"/>
              <w:jc w:val="both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Деятельность гостиниц и предприятий общественного питания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-68,3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Theme="minorAscii" w:hAnsiTheme="minorHAnsi"/>
                <w:sz w:val="22"/>
                <w:highlight w:val="none"/>
                <w:shd w:fill="auto" w:val="clear"/>
              </w:rPr>
            </w:pPr>
            <w:r>
              <w:rPr>
                <w:rFonts w:asciiTheme="minorAscii" w:hAnsiTheme="minorHAnsi" w:ascii="Times New Roman" w:hAnsi="Times New Roman"/>
                <w:kern w:val="0"/>
                <w:sz w:val="22"/>
                <w:szCs w:val="20"/>
                <w:shd w:fill="auto" w:val="clear"/>
              </w:rPr>
              <w:t>74,5</w:t>
            </w:r>
            <w:r>
              <w:rPr>
                <w:rFonts w:asciiTheme="minorAscii" w:hAnsiTheme="minorHAnsi" w:ascii="Times New Roman" w:hAnsi="Times New Roman"/>
                <w:kern w:val="0"/>
                <w:sz w:val="22"/>
                <w:szCs w:val="20"/>
                <w:shd w:fill="auto" w:val="clear"/>
                <w:vertAlign w:val="superscript"/>
              </w:rPr>
              <w:t>1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Theme="minorAscii" w:hAnsiTheme="minorHAnsi"/>
                <w:sz w:val="22"/>
                <w:highlight w:val="none"/>
                <w:shd w:fill="auto" w:val="clear"/>
              </w:rPr>
            </w:pPr>
            <w:r>
              <w:rPr>
                <w:rFonts w:asciiTheme="minorAscii" w:hAnsiTheme="minorHAnsi" w:ascii="Times New Roman" w:hAnsi="Times New Roman"/>
                <w:kern w:val="0"/>
                <w:sz w:val="22"/>
                <w:szCs w:val="20"/>
                <w:shd w:fill="auto" w:val="clear"/>
              </w:rPr>
              <w:t>470,3</w:t>
            </w:r>
            <w:r>
              <w:rPr>
                <w:rFonts w:asciiTheme="minorAscii" w:hAnsiTheme="minorHAnsi" w:ascii="Times New Roman" w:hAnsi="Times New Roman"/>
                <w:kern w:val="0"/>
                <w:sz w:val="22"/>
                <w:szCs w:val="20"/>
                <w:shd w:fill="auto" w:val="clear"/>
                <w:vertAlign w:val="superscript"/>
              </w:rPr>
              <w:t>2</w:t>
            </w:r>
          </w:p>
        </w:tc>
      </w:tr>
      <w:tr>
        <w:trPr>
          <w:trHeight w:val="159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283" w:right="0"/>
              <w:jc w:val="both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Деятельность по операциям с недвижимым имуществом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304,5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Theme="minorAscii" w:hAnsiTheme="minorHAnsi"/>
                <w:sz w:val="22"/>
                <w:highlight w:val="none"/>
                <w:shd w:fill="auto" w:val="clear"/>
              </w:rPr>
            </w:pPr>
            <w:r>
              <w:rPr>
                <w:rFonts w:asciiTheme="minorAscii" w:hAnsiTheme="minorHAnsi" w:ascii="Times New Roman" w:hAnsi="Times New Roman"/>
                <w:kern w:val="0"/>
                <w:sz w:val="22"/>
                <w:szCs w:val="20"/>
                <w:shd w:fill="auto" w:val="clear"/>
              </w:rPr>
              <w:t>-</w:t>
            </w:r>
            <w:r>
              <w:rPr>
                <w:rFonts w:asciiTheme="minorAscii" w:hAnsiTheme="minorHAnsi" w:ascii="Times New Roman" w:hAnsi="Times New Roman"/>
                <w:kern w:val="0"/>
                <w:sz w:val="22"/>
                <w:szCs w:val="20"/>
                <w:shd w:fill="auto" w:val="clear"/>
              </w:rPr>
              <w:t>8,6</w:t>
            </w:r>
            <w:r>
              <w:rPr>
                <w:rFonts w:asciiTheme="minorAscii" w:hAnsiTheme="minorHAnsi" w:ascii="Times New Roman" w:hAnsi="Times New Roman"/>
                <w:kern w:val="0"/>
                <w:sz w:val="22"/>
                <w:szCs w:val="20"/>
                <w:shd w:fill="auto" w:val="clear"/>
                <w:vertAlign w:val="superscript"/>
              </w:rPr>
              <w:t>1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position w:val="0"/>
                <w:sz w:val="22"/>
                <w:sz w:val="22"/>
                <w:highlight w:val="none"/>
                <w:shd w:fill="auto" w:val="clear"/>
                <w:vertAlign w:val="baseline"/>
              </w:rPr>
            </w:pPr>
            <w:r>
              <w:rPr>
                <w:rFonts w:ascii="Times New Roman" w:hAnsi="Times New Roman"/>
                <w:kern w:val="0"/>
                <w:position w:val="0"/>
                <w:sz w:val="22"/>
                <w:sz w:val="22"/>
                <w:szCs w:val="20"/>
                <w:shd w:fill="auto" w:val="clear"/>
                <w:vertAlign w:val="baseline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both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Задолженность предприятий и организаций на конец периода, млн рублей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  <w:vertAlign w:val="superscript"/>
              </w:rPr>
            </w:pPr>
            <w:r>
              <w:rPr>
                <w:sz w:val="22"/>
                <w:shd w:fill="auto" w:val="clear"/>
                <w:vertAlign w:val="superscript"/>
              </w:rPr>
            </w:r>
          </w:p>
        </w:tc>
      </w:tr>
      <w:tr>
        <w:trPr>
          <w:trHeight w:val="201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170" w:left="0" w:right="0"/>
              <w:jc w:val="both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дебиторская – всего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125 512,7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  <w:shd w:fill="auto" w:val="clear"/>
              </w:rPr>
              <w:t>121 817,4</w:t>
            </w:r>
            <w:r>
              <w:rPr>
                <w:rFonts w:ascii="Times New Roman" w:hAnsi="Times New Roman"/>
                <w:kern w:val="0"/>
                <w:sz w:val="22"/>
                <w:szCs w:val="20"/>
                <w:shd w:fill="auto" w:val="clear"/>
                <w:vertAlign w:val="superscript"/>
              </w:rPr>
              <w:t>1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position w:val="0"/>
                <w:sz w:val="22"/>
                <w:sz w:val="22"/>
                <w:highlight w:val="none"/>
                <w:shd w:fill="auto" w:val="clear"/>
                <w:vertAlign w:val="baseline"/>
              </w:rPr>
            </w:pPr>
            <w:r>
              <w:rPr>
                <w:rFonts w:ascii="Times New Roman" w:hAnsi="Times New Roman"/>
                <w:kern w:val="0"/>
                <w:position w:val="0"/>
                <w:sz w:val="22"/>
                <w:sz w:val="22"/>
                <w:szCs w:val="20"/>
                <w:shd w:fill="auto" w:val="clear"/>
                <w:vertAlign w:val="baseline"/>
              </w:rPr>
              <w:t>113,1</w:t>
            </w:r>
            <w:r>
              <w:rPr>
                <w:rFonts w:ascii="Times New Roman" w:hAnsi="Times New Roman"/>
                <w:kern w:val="0"/>
                <w:sz w:val="22"/>
                <w:szCs w:val="20"/>
                <w:shd w:fill="auto" w:val="clear"/>
                <w:vertAlign w:val="superscript"/>
              </w:rPr>
              <w:t>2</w:t>
            </w:r>
          </w:p>
        </w:tc>
      </w:tr>
      <w:tr>
        <w:trPr>
          <w:trHeight w:val="200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283" w:left="0" w:right="0"/>
              <w:jc w:val="both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в том числе: просроченная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5 218,7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  <w:shd w:fill="auto" w:val="clear"/>
              </w:rPr>
              <w:t>5 073,2</w:t>
            </w:r>
            <w:r>
              <w:rPr>
                <w:rFonts w:ascii="Times New Roman" w:hAnsi="Times New Roman"/>
                <w:kern w:val="0"/>
                <w:sz w:val="22"/>
                <w:szCs w:val="20"/>
                <w:shd w:fill="auto" w:val="clear"/>
                <w:vertAlign w:val="superscript"/>
              </w:rPr>
              <w:t>1</w:t>
            </w:r>
          </w:p>
        </w:tc>
        <w:tc>
          <w:tcPr>
            <w:tcW w:w="20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position w:val="0"/>
                <w:sz w:val="22"/>
                <w:sz w:val="22"/>
                <w:highlight w:val="none"/>
                <w:shd w:fill="auto" w:val="clear"/>
                <w:vertAlign w:val="baseline"/>
              </w:rPr>
            </w:pPr>
            <w:r>
              <w:rPr>
                <w:rFonts w:ascii="Times New Roman" w:hAnsi="Times New Roman"/>
                <w:kern w:val="0"/>
                <w:position w:val="0"/>
                <w:sz w:val="22"/>
                <w:sz w:val="22"/>
                <w:szCs w:val="20"/>
                <w:shd w:fill="auto" w:val="clear"/>
                <w:vertAlign w:val="baseline"/>
              </w:rPr>
              <w:t>124,9</w:t>
            </w:r>
            <w:r>
              <w:rPr>
                <w:rFonts w:ascii="Times New Roman" w:hAnsi="Times New Roman"/>
                <w:kern w:val="0"/>
                <w:sz w:val="22"/>
                <w:szCs w:val="20"/>
                <w:shd w:fill="auto" w:val="clear"/>
                <w:vertAlign w:val="superscript"/>
              </w:rPr>
              <w:t>2</w:t>
            </w:r>
          </w:p>
        </w:tc>
      </w:tr>
      <w:tr>
        <w:trPr>
          <w:trHeight w:val="272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170" w:left="0" w:right="0"/>
              <w:jc w:val="both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кредиторская – всего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99 230,5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  <w:shd w:fill="auto" w:val="clear"/>
              </w:rPr>
              <w:t>103 182,3</w:t>
            </w:r>
            <w:r>
              <w:rPr>
                <w:rFonts w:ascii="Times New Roman" w:hAnsi="Times New Roman"/>
                <w:kern w:val="0"/>
                <w:sz w:val="22"/>
                <w:szCs w:val="20"/>
                <w:shd w:fill="auto" w:val="clear"/>
                <w:vertAlign w:val="superscript"/>
              </w:rPr>
              <w:t>1</w:t>
            </w:r>
          </w:p>
        </w:tc>
        <w:tc>
          <w:tcPr>
            <w:tcW w:w="20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position w:val="0"/>
                <w:sz w:val="22"/>
                <w:sz w:val="22"/>
                <w:highlight w:val="none"/>
                <w:shd w:fill="auto" w:val="clear"/>
                <w:vertAlign w:val="baseline"/>
              </w:rPr>
            </w:pPr>
            <w:r>
              <w:rPr>
                <w:rFonts w:ascii="Times New Roman" w:hAnsi="Times New Roman"/>
                <w:kern w:val="0"/>
                <w:position w:val="0"/>
                <w:sz w:val="22"/>
                <w:sz w:val="22"/>
                <w:szCs w:val="20"/>
                <w:shd w:fill="auto" w:val="clear"/>
                <w:vertAlign w:val="baseline"/>
              </w:rPr>
              <w:t>102,1</w:t>
            </w:r>
            <w:r>
              <w:rPr>
                <w:rFonts w:ascii="Times New Roman" w:hAnsi="Times New Roman"/>
                <w:kern w:val="0"/>
                <w:sz w:val="22"/>
                <w:szCs w:val="20"/>
                <w:shd w:fill="auto" w:val="clear"/>
                <w:vertAlign w:val="superscript"/>
              </w:rPr>
              <w:t>2</w:t>
            </w:r>
          </w:p>
        </w:tc>
      </w:tr>
      <w:tr>
        <w:trPr>
          <w:trHeight w:val="282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283" w:left="0" w:right="0"/>
              <w:jc w:val="both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в том числе: просроченная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1 696,0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  <w:shd w:fill="auto" w:val="clear"/>
              </w:rPr>
              <w:t>1 327,5</w:t>
            </w:r>
            <w:r>
              <w:rPr>
                <w:rFonts w:ascii="Times New Roman" w:hAnsi="Times New Roman"/>
                <w:kern w:val="0"/>
                <w:sz w:val="22"/>
                <w:szCs w:val="20"/>
                <w:shd w:fill="auto" w:val="clear"/>
                <w:vertAlign w:val="superscript"/>
              </w:rPr>
              <w:t>1</w:t>
            </w:r>
          </w:p>
        </w:tc>
        <w:tc>
          <w:tcPr>
            <w:tcW w:w="20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position w:val="0"/>
                <w:sz w:val="22"/>
                <w:sz w:val="22"/>
                <w:highlight w:val="none"/>
                <w:shd w:fill="auto" w:val="clear"/>
                <w:vertAlign w:val="baseline"/>
              </w:rPr>
            </w:pPr>
            <w:r>
              <w:rPr>
                <w:rFonts w:ascii="Times New Roman" w:hAnsi="Times New Roman"/>
                <w:kern w:val="0"/>
                <w:position w:val="0"/>
                <w:sz w:val="22"/>
                <w:sz w:val="22"/>
                <w:szCs w:val="20"/>
                <w:shd w:fill="auto" w:val="clear"/>
                <w:vertAlign w:val="baseline"/>
              </w:rPr>
              <w:t>117,9</w:t>
            </w:r>
            <w:r>
              <w:rPr>
                <w:rFonts w:ascii="Times New Roman" w:hAnsi="Times New Roman"/>
                <w:kern w:val="0"/>
                <w:sz w:val="22"/>
                <w:szCs w:val="20"/>
                <w:shd w:fill="auto" w:val="clear"/>
                <w:vertAlign w:val="superscript"/>
              </w:rPr>
              <w:t>2</w:t>
            </w:r>
          </w:p>
        </w:tc>
      </w:tr>
      <w:tr>
        <w:trPr>
          <w:trHeight w:val="159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both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Численность населения, тыс. чел.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289,0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288,8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  <w:vertAlign w:val="superscript"/>
              </w:rPr>
              <w:t>1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100,0</w:t>
            </w:r>
          </w:p>
        </w:tc>
      </w:tr>
      <w:tr>
        <w:trPr>
          <w:trHeight w:val="159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both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Естественный прирост (убыль), чел.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-456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- 96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  <w:vertAlign w:val="superscript"/>
              </w:rPr>
              <w:t>1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both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Миграционный прирост (убыль), чел.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687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- 7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  <w:vertAlign w:val="superscript"/>
              </w:rPr>
              <w:t>1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-</w:t>
            </w:r>
          </w:p>
        </w:tc>
      </w:tr>
      <w:tr>
        <w:trPr>
          <w:trHeight w:val="159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both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Численность официально зарегистрированных безработных, тыс. чел.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1,4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1,4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73,4</w:t>
            </w:r>
          </w:p>
        </w:tc>
      </w:tr>
      <w:tr>
        <w:trPr>
          <w:trHeight w:val="159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both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Уровень зарегистрированной безработицы (среднее за период), %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0,8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0,9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ind w:hanging="0" w:left="57" w:right="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16"/>
          <w:shd w:fill="auto" w:val="clear"/>
        </w:rPr>
        <w:t xml:space="preserve">Примечание: </w:t>
      </w:r>
    </w:p>
    <w:p>
      <w:pPr>
        <w:pStyle w:val="Normal"/>
        <w:spacing w:lineRule="auto" w:line="240" w:before="0" w:after="0"/>
        <w:ind w:hanging="0" w:left="57" w:right="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16"/>
          <w:shd w:fill="auto" w:val="clear"/>
        </w:rPr>
        <w:t>…</w:t>
      </w:r>
      <w:r>
        <w:rPr>
          <w:rFonts w:ascii="Times New Roman" w:hAnsi="Times New Roman"/>
          <w:sz w:val="16"/>
          <w:shd w:fill="auto" w:val="clear"/>
        </w:rPr>
        <w:t>* – информация не публикуется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Федерации»;</w:t>
      </w:r>
    </w:p>
    <w:p>
      <w:pPr>
        <w:pStyle w:val="Normal"/>
        <w:spacing w:lineRule="auto" w:line="240" w:before="0" w:after="0"/>
        <w:ind w:hanging="0" w:left="57" w:right="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16"/>
          <w:shd w:fill="auto" w:val="clear"/>
        </w:rPr>
        <w:t>1 – январь 2024 года;</w:t>
      </w:r>
    </w:p>
    <w:p>
      <w:pPr>
        <w:pStyle w:val="Normal"/>
        <w:spacing w:lineRule="auto" w:line="240" w:before="0" w:after="0"/>
        <w:ind w:hanging="0" w:left="57" w:right="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16"/>
          <w:shd w:fill="auto" w:val="clear"/>
        </w:rPr>
        <w:t>2 – январь 2024 года к январю 2023 года;</w:t>
      </w:r>
    </w:p>
    <w:p>
      <w:pPr>
        <w:pStyle w:val="Normal"/>
        <w:spacing w:lineRule="auto" w:line="240" w:before="0" w:after="0"/>
        <w:ind w:hanging="0" w:left="57" w:right="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16"/>
          <w:shd w:fill="auto" w:val="clear"/>
        </w:rPr>
        <w:t>3 – 2023 год к 2022 году.</w:t>
      </w:r>
    </w:p>
    <w:sectPr>
      <w:headerReference w:type="even" r:id="rId2"/>
      <w:headerReference w:type="default" r:id="rId3"/>
      <w:type w:val="nextPage"/>
      <w:pgSz w:w="11906" w:h="16838"/>
      <w:pgMar w:left="1134" w:right="567" w:gutter="0" w:header="709" w:top="1268" w:footer="0" w:bottom="1134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Times New Roman">
    <w:charset w:val="01"/>
    <w:family w:val="roman"/>
    <w:pitch w:val="variable"/>
  </w:font>
  <w:font w:name="Open Sans">
    <w:charset w:val="01"/>
    <w:family w:val="roman"/>
    <w:pitch w:val="variable"/>
  </w:font>
  <w:font w:name="Segoe UI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mc:AlternateContent>
        <mc:Choice Requires="wps">
          <w:drawing>
            <wp:anchor behindDoc="1" distT="0" distB="0" distL="0" distR="0" simplePos="0" locked="0" layoutInCell="0" allowOverlap="1" relativeHeight="3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44475" cy="173990"/>
              <wp:effectExtent l="0" t="0" r="0" b="0"/>
              <wp:wrapSquare wrapText="bothSides"/>
              <wp:docPr id="1" name="Picture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444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before="0" w:after="16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icture 6" path="m0,0l-2147483645,0l-2147483645,-2147483646l0,-2147483646xe" stroked="f" o:allowincell="f" style="position:absolute;margin-left:245.45pt;margin-top:0.05pt;width:19.2pt;height:13.65pt;mso-wrap-style:none;v-text-anchor:middle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spacing w:before="0" w:after="16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4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2240" cy="169545"/>
              <wp:effectExtent l="0" t="635" r="0" b="0"/>
              <wp:wrapSquare wrapText="bothSides"/>
              <wp:docPr id="2" name="Picture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20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before="0" w:after="160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icture 5" path="m0,0l-2147483645,0l-2147483645,-2147483646l0,-2147483646xe" stroked="f" o:allowincell="f" style="position:absolute;margin-left:249.5pt;margin-top:0.05pt;width:11.15pt;height:13.3pt;mso-wrap-style:none;v-text-anchor:middle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spacing w:before="0" w:after="160"/>
                      <w:rPr/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4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173990"/>
              <wp:effectExtent l="0" t="0" r="0" b="0"/>
              <wp:wrapSquare wrapText="bothSides"/>
              <wp:docPr id="3" name="Pictur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before="0" w:after="16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icture 4" path="m0,0l-2147483645,0l-2147483645,-2147483646l0,-2147483646xe" stroked="f" o:allowincell="f" style="position:absolute;margin-left:249.05pt;margin-top:0.05pt;width:12pt;height:13.65pt;mso-wrap-style:none;v-text-anchor:middle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spacing w:before="0" w:after="16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5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4" name="Врезка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5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before="0" w:after="16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  <w:rFonts w:ascii="Times New Roman" w:hAnsi="Times New Roman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zCs w:val="24"/>
                              <w:rFonts w:ascii="Times New Roman" w:hAnsi="Times New Roman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  <w:rFonts w:ascii="Times New Roman" w:hAnsi="Times New Roman"/>
                            </w:rPr>
                            <w:t>8</w:t>
                          </w:r>
                          <w:r>
                            <w:rPr>
                              <w:sz w:val="24"/>
                              <w:szCs w:val="24"/>
                              <w:rFonts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4" path="m0,0l-2147483645,0l-2147483645,-2147483646l0,-2147483646xe" stroked="f" o:allowincell="f" style="position:absolute;margin-left:252.05pt;margin-top:0.05pt;width:6pt;height:13.75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spacing w:before="0" w:after="16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  <w:rFonts w:ascii="Times New Roman" w:hAnsi="Times New Roman"/>
                      </w:rPr>
                      <w:instrText xml:space="preserve"> PAGE </w:instrText>
                    </w:r>
                    <w:r>
                      <w:rPr>
                        <w:sz w:val="24"/>
                        <w:szCs w:val="24"/>
                        <w:rFonts w:ascii="Times New Roman" w:hAnsi="Times New Roman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  <w:rFonts w:ascii="Times New Roman" w:hAnsi="Times New Roman"/>
                      </w:rPr>
                      <w:t>8</w:t>
                    </w:r>
                    <w:r>
                      <w:rPr>
                        <w:sz w:val="24"/>
                        <w:szCs w:val="24"/>
                        <w:rFonts w:ascii="Times New Roman" w:hAnsi="Times New Roman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mc:AlternateContent>
        <mc:Choice Requires="wps">
          <w:drawing>
            <wp:anchor behindDoc="1" distT="0" distB="635" distL="0" distR="0" simplePos="0" locked="0" layoutInCell="0" allowOverlap="1" relativeHeight="8">
              <wp:simplePos x="0" y="0"/>
              <wp:positionH relativeFrom="margin">
                <wp:posOffset>3204210</wp:posOffset>
              </wp:positionH>
              <wp:positionV relativeFrom="paragraph">
                <wp:posOffset>635</wp:posOffset>
              </wp:positionV>
              <wp:extent cx="71755" cy="173990"/>
              <wp:effectExtent l="0" t="0" r="0" b="0"/>
              <wp:wrapSquare wrapText="bothSides"/>
              <wp:docPr id="5" name="Picture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before="0" w:after="16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icture 3" path="m0,0l-2147483645,0l-2147483645,-2147483646l0,-2147483646xe" stroked="f" o:allowincell="f" style="position:absolute;margin-left:252.3pt;margin-top:0.05pt;width:5.6pt;height:13.65pt;mso-wrap-style:none;v-text-anchor:middle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spacing w:before="0" w:after="16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6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71755" cy="169545"/>
              <wp:effectExtent l="0" t="635" r="0" b="0"/>
              <wp:wrapSquare wrapText="bothSides"/>
              <wp:docPr id="6" name="Pictur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before="0" w:after="160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icture 2" path="m0,0l-2147483645,0l-2147483645,-2147483646l0,-2147483646xe" stroked="f" o:allowincell="f" style="position:absolute;margin-left:252.25pt;margin-top:0.45pt;width:5.6pt;height:13.3pt;mso-wrap-style:none;v-text-anchor:middle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spacing w:before="0" w:after="160"/>
                      <w:rPr/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24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71755" cy="169545"/>
              <wp:effectExtent l="0" t="635" r="0" b="0"/>
              <wp:wrapSquare wrapText="bothSides"/>
              <wp:docPr id="7" name="Pictur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before="0" w:after="160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icture 1" path="m0,0l-2147483645,0l-2147483645,-2147483646l0,-2147483646xe" stroked="f" o:allowincell="f" style="position:absolute;margin-left:-0.05pt;margin-top:0.05pt;width:5.6pt;height:13.3pt;mso-wrap-style:none;v-text-anchor:middle;mso-position-horizontal:lef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spacing w:before="0" w:after="160"/>
                      <w:rPr/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6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7795" cy="175260"/>
              <wp:effectExtent l="0" t="0" r="0" b="0"/>
              <wp:wrapSquare wrapText="bothSides"/>
              <wp:docPr id="8" name="Врезка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880" cy="175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before="0" w:after="16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  <w:rFonts w:ascii="Times New Roman" w:hAnsi="Times New Roman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zCs w:val="24"/>
                              <w:rFonts w:ascii="Times New Roman" w:hAnsi="Times New Roman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  <w:rFonts w:ascii="Times New Roman" w:hAnsi="Times New Roman"/>
                            </w:rPr>
                            <w:t>9</w:t>
                          </w:r>
                          <w:r>
                            <w:rPr>
                              <w:sz w:val="24"/>
                              <w:szCs w:val="24"/>
                              <w:rFonts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8" path="m0,0l-2147483645,0l-2147483645,-2147483646l0,-2147483646xe" stroked="f" o:allowincell="f" style="position:absolute;margin-left:249.65pt;margin-top:0.05pt;width:10.8pt;height:13.75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spacing w:before="0" w:after="16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  <w:rFonts w:ascii="Times New Roman" w:hAnsi="Times New Roman"/>
                      </w:rPr>
                      <w:instrText xml:space="preserve"> PAGE </w:instrText>
                    </w:r>
                    <w:r>
                      <w:rPr>
                        <w:sz w:val="24"/>
                        <w:szCs w:val="24"/>
                        <w:rFonts w:ascii="Times New Roman" w:hAnsi="Times New Roman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  <w:rFonts w:ascii="Times New Roman" w:hAnsi="Times New Roman"/>
                      </w:rPr>
                      <w:t>9</w:t>
                    </w:r>
                    <w:r>
                      <w:rPr>
                        <w:sz w:val="24"/>
                        <w:szCs w:val="24"/>
                        <w:rFonts w:ascii="Times New Roman" w:hAnsi="Times New Roman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8"/>
        <w:rFonts w:ascii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8"/>
        <w:rFonts w:ascii="Times New Roman" w:hAnsi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8"/>
        <w:rFonts w:ascii="Times New Roman" w:hAnsi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28"/>
        <w:rFonts w:ascii="Times New Roman" w:hAnsi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28"/>
        <w:rFonts w:ascii="Times New Roman" w:hAnsi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28"/>
        <w:rFonts w:ascii="Times New Roman" w:hAnsi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28"/>
        <w:rFonts w:ascii="Times New Roman" w:hAnsi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28"/>
        <w:rFonts w:ascii="Times New Roman" w:hAnsi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28"/>
        <w:rFonts w:ascii="Times New Roman" w:hAnsi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evenAndOddHeader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Lohit Devanagari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64" w:before="0" w:after="16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Heading1">
    <w:name w:val="Heading 1"/>
    <w:next w:val="Normal"/>
    <w:uiPriority w:val="9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  <w:outlineLvl w:val="0"/>
    </w:pPr>
    <w:rPr>
      <w:rFonts w:ascii="XO Thames" w:hAnsi="XO Thames" w:eastAsia="Tahoma" w:cs="Lohit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Heading2">
    <w:name w:val="Heading 2"/>
    <w:next w:val="Normal"/>
    <w:uiPriority w:val="9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  <w:outlineLvl w:val="1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Heading3">
    <w:name w:val="Heading 3"/>
    <w:next w:val="Normal"/>
    <w:uiPriority w:val="9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  <w:outlineLvl w:val="2"/>
    </w:pPr>
    <w:rPr>
      <w:rFonts w:ascii="XO Thames" w:hAnsi="XO Thames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Heading4">
    <w:name w:val="Heading 4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hanging="0" w:left="0" w:right="0"/>
      <w:jc w:val="both"/>
      <w:outlineLvl w:val="3"/>
    </w:pPr>
    <w:rPr>
      <w:rFonts w:ascii="XO Thames" w:hAnsi="XO Thames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Heading5">
    <w:name w:val="Heading 5"/>
    <w:next w:val="Normal"/>
    <w:uiPriority w:val="9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  <w:outlineLvl w:val="4"/>
    </w:pPr>
    <w:rPr>
      <w:rFonts w:ascii="XO Thames" w:hAnsi="XO Thames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qFormat/>
    <w:rPr>
      <w:rFonts w:ascii="XO Thames" w:hAnsi="XO Thames"/>
      <w:color w:val="000000"/>
      <w:spacing w:val="0"/>
      <w:sz w:val="28"/>
    </w:rPr>
  </w:style>
  <w:style w:type="character" w:styleId="3">
    <w:name w:val="Колонтитул3"/>
    <w:link w:val="311"/>
    <w:qFormat/>
    <w:rPr/>
  </w:style>
  <w:style w:type="character" w:styleId="11111">
    <w:name w:val="Нижний колонтитул11111"/>
    <w:link w:val="1111112"/>
    <w:qFormat/>
    <w:rPr>
      <w:rFonts w:ascii="Times New Roman" w:hAnsi="Times New Roman"/>
      <w:color w:val="000000"/>
      <w:spacing w:val="0"/>
      <w:sz w:val="28"/>
    </w:rPr>
  </w:style>
  <w:style w:type="character" w:styleId="5">
    <w:name w:val="Содержимое врезки5"/>
    <w:link w:val="512"/>
    <w:qFormat/>
    <w:rPr/>
  </w:style>
  <w:style w:type="character" w:styleId="Footnote1111">
    <w:name w:val="Footnote1111"/>
    <w:link w:val="Footnote11111"/>
    <w:qFormat/>
    <w:rPr>
      <w:rFonts w:ascii="XO Thames" w:hAnsi="XO Thames"/>
      <w:color w:val="000000"/>
      <w:spacing w:val="0"/>
      <w:sz w:val="22"/>
    </w:rPr>
  </w:style>
  <w:style w:type="character" w:styleId="Contents4">
    <w:name w:val="Contents 4"/>
    <w:qFormat/>
    <w:rPr>
      <w:rFonts w:ascii="XO Thames" w:hAnsi="XO Thames"/>
      <w:color w:val="000000"/>
      <w:spacing w:val="0"/>
      <w:sz w:val="28"/>
    </w:rPr>
  </w:style>
  <w:style w:type="character" w:styleId="Heading5131">
    <w:name w:val="Heading 5131"/>
    <w:link w:val="Heading51311"/>
    <w:qFormat/>
    <w:rPr>
      <w:rFonts w:ascii="XO Thames" w:hAnsi="XO Thames"/>
      <w:b/>
      <w:color w:val="000000"/>
      <w:spacing w:val="0"/>
      <w:sz w:val="22"/>
    </w:rPr>
  </w:style>
  <w:style w:type="character" w:styleId="Heading41111">
    <w:name w:val="Heading 41111"/>
    <w:link w:val="Heading411111"/>
    <w:qFormat/>
    <w:rPr>
      <w:rFonts w:ascii="XO Thames" w:hAnsi="XO Thames"/>
      <w:b/>
      <w:color w:val="000000"/>
      <w:spacing w:val="0"/>
      <w:sz w:val="24"/>
    </w:rPr>
  </w:style>
  <w:style w:type="character" w:styleId="List1">
    <w:name w:val="List1"/>
    <w:basedOn w:val="Textbody1111"/>
    <w:qFormat/>
    <w:rPr/>
  </w:style>
  <w:style w:type="character" w:styleId="Heading4211">
    <w:name w:val="Heading 4211"/>
    <w:link w:val="Heading42111"/>
    <w:qFormat/>
    <w:rPr>
      <w:rFonts w:ascii="XO Thames" w:hAnsi="XO Thames"/>
      <w:b/>
      <w:color w:val="000000"/>
      <w:spacing w:val="0"/>
      <w:sz w:val="24"/>
    </w:rPr>
  </w:style>
  <w:style w:type="character" w:styleId="Contents921">
    <w:name w:val="Contents 921"/>
    <w:link w:val="Contents9211"/>
    <w:qFormat/>
    <w:rPr>
      <w:rFonts w:ascii="XO Thames" w:hAnsi="XO Thames"/>
      <w:color w:val="000000"/>
      <w:spacing w:val="0"/>
      <w:sz w:val="28"/>
    </w:rPr>
  </w:style>
  <w:style w:type="character" w:styleId="411111">
    <w:name w:val="Заголовок 411111"/>
    <w:link w:val="4111111"/>
    <w:qFormat/>
    <w:rPr>
      <w:rFonts w:ascii="XO Thames" w:hAnsi="XO Thames"/>
      <w:b/>
      <w:color w:val="000000"/>
      <w:spacing w:val="0"/>
      <w:sz w:val="24"/>
    </w:rPr>
  </w:style>
  <w:style w:type="character" w:styleId="Contents6">
    <w:name w:val="Contents 6"/>
    <w:qFormat/>
    <w:rPr>
      <w:rFonts w:ascii="XO Thames" w:hAnsi="XO Thames"/>
      <w:color w:val="000000"/>
      <w:spacing w:val="0"/>
      <w:sz w:val="28"/>
    </w:rPr>
  </w:style>
  <w:style w:type="character" w:styleId="Heading42">
    <w:name w:val="Heading 42"/>
    <w:link w:val="Heading421"/>
    <w:qFormat/>
    <w:rPr>
      <w:rFonts w:ascii="XO Thames" w:hAnsi="XO Thames"/>
      <w:b/>
      <w:color w:val="000000"/>
      <w:spacing w:val="0"/>
      <w:sz w:val="24"/>
    </w:rPr>
  </w:style>
  <w:style w:type="character" w:styleId="Heading2211">
    <w:name w:val="Heading 2211"/>
    <w:link w:val="Heading22111"/>
    <w:qFormat/>
    <w:rPr>
      <w:rFonts w:ascii="XO Thames" w:hAnsi="XO Thames"/>
      <w:b/>
      <w:color w:val="000000"/>
      <w:spacing w:val="0"/>
      <w:sz w:val="28"/>
    </w:rPr>
  </w:style>
  <w:style w:type="character" w:styleId="Contents7">
    <w:name w:val="Contents 7"/>
    <w:qFormat/>
    <w:rPr>
      <w:rFonts w:ascii="XO Thames" w:hAnsi="XO Thames"/>
      <w:color w:val="000000"/>
      <w:spacing w:val="0"/>
      <w:sz w:val="28"/>
    </w:rPr>
  </w:style>
  <w:style w:type="character" w:styleId="Style9">
    <w:name w:val="Содержимое таблицы"/>
    <w:link w:val="14"/>
    <w:qFormat/>
    <w:rPr/>
  </w:style>
  <w:style w:type="character" w:styleId="Contents41">
    <w:name w:val="Contents 41"/>
    <w:link w:val="Contents42"/>
    <w:qFormat/>
    <w:rPr>
      <w:rFonts w:ascii="XO Thames" w:hAnsi="XO Thames"/>
      <w:color w:val="000000"/>
      <w:spacing w:val="0"/>
      <w:sz w:val="28"/>
    </w:rPr>
  </w:style>
  <w:style w:type="character" w:styleId="Footer1211">
    <w:name w:val="Footer1211"/>
    <w:link w:val="Footer12111"/>
    <w:qFormat/>
    <w:rPr>
      <w:rFonts w:ascii="Times New Roman" w:hAnsi="Times New Roman"/>
      <w:color w:val="000000"/>
      <w:spacing w:val="0"/>
      <w:sz w:val="28"/>
    </w:rPr>
  </w:style>
  <w:style w:type="character" w:styleId="Footer131">
    <w:name w:val="Footer131"/>
    <w:link w:val="Footer1311"/>
    <w:qFormat/>
    <w:rPr>
      <w:rFonts w:ascii="Times New Roman" w:hAnsi="Times New Roman"/>
      <w:color w:val="000000"/>
      <w:spacing w:val="0"/>
      <w:sz w:val="28"/>
    </w:rPr>
  </w:style>
  <w:style w:type="character" w:styleId="Indexheading1111">
    <w:name w:val="index heading1111"/>
    <w:link w:val="Indexheading11111"/>
    <w:qFormat/>
    <w:rPr/>
  </w:style>
  <w:style w:type="character" w:styleId="4111">
    <w:name w:val="Колонтитул4111"/>
    <w:link w:val="411112"/>
    <w:qFormat/>
    <w:rPr/>
  </w:style>
  <w:style w:type="character" w:styleId="Footer1">
    <w:name w:val="Footer1"/>
    <w:link w:val="Footer11"/>
    <w:qFormat/>
    <w:rPr>
      <w:rFonts w:ascii="Times New Roman" w:hAnsi="Times New Roman"/>
      <w:color w:val="000000"/>
      <w:spacing w:val="0"/>
      <w:sz w:val="28"/>
    </w:rPr>
  </w:style>
  <w:style w:type="character" w:styleId="Heading31">
    <w:name w:val="Heading 31"/>
    <w:qFormat/>
    <w:rPr>
      <w:rFonts w:ascii="XO Thames" w:hAnsi="XO Thames"/>
      <w:b/>
      <w:color w:val="000000"/>
      <w:spacing w:val="0"/>
      <w:sz w:val="26"/>
    </w:rPr>
  </w:style>
  <w:style w:type="character" w:styleId="Heading211">
    <w:name w:val="Heading 211"/>
    <w:link w:val="Heading2111"/>
    <w:qFormat/>
    <w:rPr>
      <w:rFonts w:ascii="XO Thames" w:hAnsi="XO Thames"/>
      <w:b/>
      <w:color w:val="000000"/>
      <w:spacing w:val="0"/>
      <w:sz w:val="28"/>
    </w:rPr>
  </w:style>
  <w:style w:type="character" w:styleId="6">
    <w:name w:val="Колонтитул6"/>
    <w:link w:val="611"/>
    <w:qFormat/>
    <w:rPr/>
  </w:style>
  <w:style w:type="character" w:styleId="Contents43">
    <w:name w:val="Contents 43"/>
    <w:link w:val="Contents431"/>
    <w:qFormat/>
    <w:rPr>
      <w:rFonts w:ascii="XO Thames" w:hAnsi="XO Thames"/>
      <w:color w:val="000000"/>
      <w:spacing w:val="0"/>
      <w:sz w:val="28"/>
    </w:rPr>
  </w:style>
  <w:style w:type="character" w:styleId="Bx-messenger-ajax1111">
    <w:name w:val="bx-messenger-ajax1111"/>
    <w:basedOn w:val="111114"/>
    <w:link w:val="Bx-messenger-ajax11111"/>
    <w:qFormat/>
    <w:rPr/>
  </w:style>
  <w:style w:type="character" w:styleId="Header1">
    <w:name w:val="Header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3111">
    <w:name w:val="Колонтитул3111"/>
    <w:link w:val="311112"/>
    <w:qFormat/>
    <w:rPr/>
  </w:style>
  <w:style w:type="character" w:styleId="DefaultParagraphFont1111">
    <w:name w:val="Default Paragraph Font1111"/>
    <w:link w:val="DefaultParagraphFont1111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2211">
    <w:name w:val="Заголовок2211"/>
    <w:link w:val="221111"/>
    <w:qFormat/>
    <w:rPr>
      <w:rFonts w:ascii="Open Sans" w:hAnsi="Open Sans"/>
      <w:sz w:val="28"/>
    </w:rPr>
  </w:style>
  <w:style w:type="character" w:styleId="1">
    <w:name w:val="Заголовок1"/>
    <w:link w:val="112"/>
    <w:qFormat/>
    <w:rPr>
      <w:rFonts w:ascii="Open Sans" w:hAnsi="Open Sans"/>
      <w:sz w:val="28"/>
    </w:rPr>
  </w:style>
  <w:style w:type="character" w:styleId="Contents321">
    <w:name w:val="Contents 321"/>
    <w:link w:val="Contents3211"/>
    <w:qFormat/>
    <w:rPr>
      <w:rFonts w:ascii="XO Thames" w:hAnsi="XO Thames"/>
      <w:color w:val="000000"/>
      <w:spacing w:val="0"/>
      <w:sz w:val="28"/>
    </w:rPr>
  </w:style>
  <w:style w:type="character" w:styleId="Footnote11">
    <w:name w:val="Footnote11"/>
    <w:link w:val="Footnote111"/>
    <w:qFormat/>
    <w:rPr>
      <w:rFonts w:ascii="XO Thames" w:hAnsi="XO Thames"/>
      <w:color w:val="000000"/>
      <w:spacing w:val="0"/>
      <w:sz w:val="22"/>
    </w:rPr>
  </w:style>
  <w:style w:type="character" w:styleId="211211">
    <w:name w:val="Заголовок211211"/>
    <w:link w:val="21121111"/>
    <w:qFormat/>
    <w:rPr>
      <w:rFonts w:ascii="Open Sans" w:hAnsi="Open Sans"/>
      <w:sz w:val="28"/>
    </w:rPr>
  </w:style>
  <w:style w:type="character" w:styleId="Subtitle1111">
    <w:name w:val="Subtitle1111"/>
    <w:link w:val="Subtitle11111"/>
    <w:qFormat/>
    <w:rPr>
      <w:rFonts w:ascii="XO Thames" w:hAnsi="XO Thames"/>
      <w:i/>
      <w:color w:val="000000"/>
      <w:spacing w:val="0"/>
      <w:sz w:val="24"/>
    </w:rPr>
  </w:style>
  <w:style w:type="character" w:styleId="Internetlink21">
    <w:name w:val="Internet link21"/>
    <w:basedOn w:val="DefaultParagraphFont1111"/>
    <w:link w:val="Internetlink211"/>
    <w:qFormat/>
    <w:rPr>
      <w:color w:themeColor="hyperlink" w:val="0563C1"/>
      <w:u w:val="single"/>
    </w:rPr>
  </w:style>
  <w:style w:type="character" w:styleId="Title211">
    <w:name w:val="Title211"/>
    <w:link w:val="Title2111"/>
    <w:qFormat/>
    <w:rPr>
      <w:rFonts w:ascii="Open Sans" w:hAnsi="Open Sans"/>
      <w:color w:val="000000"/>
      <w:spacing w:val="0"/>
      <w:sz w:val="28"/>
    </w:rPr>
  </w:style>
  <w:style w:type="character" w:styleId="Heading311">
    <w:name w:val="Heading 311"/>
    <w:link w:val="Heading313"/>
    <w:qFormat/>
    <w:rPr>
      <w:rFonts w:ascii="XO Thames" w:hAnsi="XO Thames"/>
      <w:b/>
      <w:color w:val="000000"/>
      <w:spacing w:val="0"/>
      <w:sz w:val="26"/>
    </w:rPr>
  </w:style>
  <w:style w:type="character" w:styleId="Caption3111">
    <w:name w:val="caption3111"/>
    <w:link w:val="Caption31111"/>
    <w:qFormat/>
    <w:rPr>
      <w:i/>
      <w:sz w:val="24"/>
    </w:rPr>
  </w:style>
  <w:style w:type="character" w:styleId="Caption1211">
    <w:name w:val="Caption1211"/>
    <w:link w:val="Caption12111"/>
    <w:qFormat/>
    <w:rPr>
      <w:rFonts w:ascii="Calibri" w:hAnsi="Calibri" w:asciiTheme="minorAscii" w:hAnsiTheme="minorHAnsi"/>
      <w:i/>
      <w:color w:val="000000"/>
      <w:spacing w:val="0"/>
      <w:sz w:val="24"/>
    </w:rPr>
  </w:style>
  <w:style w:type="character" w:styleId="Contents81111">
    <w:name w:val="Contents 81111"/>
    <w:link w:val="Contents811111"/>
    <w:qFormat/>
    <w:rPr>
      <w:rFonts w:ascii="XO Thames" w:hAnsi="XO Thames"/>
      <w:color w:val="000000"/>
      <w:spacing w:val="0"/>
      <w:sz w:val="28"/>
    </w:rPr>
  </w:style>
  <w:style w:type="character" w:styleId="List1211">
    <w:name w:val="List1211"/>
    <w:basedOn w:val="Textbody1111"/>
    <w:link w:val="List12111"/>
    <w:qFormat/>
    <w:rPr/>
  </w:style>
  <w:style w:type="character" w:styleId="Footer12">
    <w:name w:val="Footer12"/>
    <w:link w:val="Footer121"/>
    <w:qFormat/>
    <w:rPr>
      <w:rFonts w:ascii="Times New Roman" w:hAnsi="Times New Roman"/>
      <w:color w:val="000000"/>
      <w:spacing w:val="0"/>
      <w:sz w:val="28"/>
    </w:rPr>
  </w:style>
  <w:style w:type="character" w:styleId="Textbody21">
    <w:name w:val="Text body21"/>
    <w:link w:val="Textbody21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511111">
    <w:name w:val="Заголовок 511111"/>
    <w:link w:val="5111111"/>
    <w:qFormat/>
    <w:rPr>
      <w:rFonts w:ascii="XO Thames" w:hAnsi="XO Thames"/>
      <w:b/>
      <w:color w:val="000000"/>
      <w:spacing w:val="0"/>
      <w:sz w:val="22"/>
    </w:rPr>
  </w:style>
  <w:style w:type="character" w:styleId="Subtitle2">
    <w:name w:val="Subtitle2"/>
    <w:link w:val="Subtitle21"/>
    <w:qFormat/>
    <w:rPr>
      <w:rFonts w:ascii="XO Thames" w:hAnsi="XO Thames"/>
      <w:i/>
      <w:color w:val="000000"/>
      <w:spacing w:val="0"/>
      <w:sz w:val="24"/>
    </w:rPr>
  </w:style>
  <w:style w:type="character" w:styleId="1111">
    <w:name w:val="Заголовок таблицы1111"/>
    <w:basedOn w:val="11114"/>
    <w:link w:val="111119"/>
    <w:qFormat/>
    <w:rPr>
      <w:b/>
    </w:rPr>
  </w:style>
  <w:style w:type="character" w:styleId="Textbody">
    <w:name w:val="Text body"/>
    <w:qFormat/>
    <w:rPr/>
  </w:style>
  <w:style w:type="character" w:styleId="Contents221">
    <w:name w:val="Contents 221"/>
    <w:link w:val="Contents2211"/>
    <w:qFormat/>
    <w:rPr>
      <w:rFonts w:ascii="XO Thames" w:hAnsi="XO Thames"/>
      <w:color w:val="000000"/>
      <w:spacing w:val="0"/>
      <w:sz w:val="28"/>
    </w:rPr>
  </w:style>
  <w:style w:type="character" w:styleId="Contents1">
    <w:name w:val="Contents 1"/>
    <w:link w:val="Contents12"/>
    <w:qFormat/>
    <w:rPr>
      <w:rFonts w:ascii="XO Thames" w:hAnsi="XO Thames"/>
      <w:b/>
      <w:color w:val="000000"/>
      <w:spacing w:val="0"/>
      <w:sz w:val="28"/>
    </w:rPr>
  </w:style>
  <w:style w:type="character" w:styleId="Contents111">
    <w:name w:val="Contents 111"/>
    <w:link w:val="Contents1111"/>
    <w:qFormat/>
    <w:rPr>
      <w:rFonts w:ascii="XO Thames" w:hAnsi="XO Thames"/>
      <w:b/>
      <w:color w:val="000000"/>
      <w:spacing w:val="0"/>
      <w:sz w:val="28"/>
    </w:rPr>
  </w:style>
  <w:style w:type="character" w:styleId="Internetlink1111">
    <w:name w:val="Internet link1111"/>
    <w:basedOn w:val="DefaultParagraphFont1111"/>
    <w:link w:val="Internetlink11111"/>
    <w:qFormat/>
    <w:rPr>
      <w:color w:themeColor="hyperlink" w:val="0563C1"/>
      <w:u w:val="single"/>
    </w:rPr>
  </w:style>
  <w:style w:type="character" w:styleId="Contents63">
    <w:name w:val="Contents 63"/>
    <w:link w:val="Contents631"/>
    <w:qFormat/>
    <w:rPr>
      <w:rFonts w:ascii="XO Thames" w:hAnsi="XO Thames"/>
      <w:color w:val="000000"/>
      <w:spacing w:val="0"/>
      <w:sz w:val="28"/>
    </w:rPr>
  </w:style>
  <w:style w:type="character" w:styleId="BalloonText1111">
    <w:name w:val="Balloon Text1111"/>
    <w:link w:val="BalloonText11111"/>
    <w:qFormat/>
    <w:rPr>
      <w:rFonts w:ascii="Segoe UI" w:hAnsi="Segoe UI"/>
      <w:sz w:val="18"/>
    </w:rPr>
  </w:style>
  <w:style w:type="character" w:styleId="511">
    <w:name w:val="Колонтитул511"/>
    <w:link w:val="51111"/>
    <w:qFormat/>
    <w:rPr>
      <w:rFonts w:ascii="XO Thames" w:hAnsi="XO Thames"/>
      <w:color w:val="000000"/>
      <w:spacing w:val="0"/>
      <w:sz w:val="20"/>
    </w:rPr>
  </w:style>
  <w:style w:type="character" w:styleId="Header12">
    <w:name w:val="Header12"/>
    <w:link w:val="Header12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Caption1">
    <w:name w:val="Caption1"/>
    <w:qFormat/>
    <w:rPr>
      <w:i/>
      <w:sz w:val="24"/>
    </w:rPr>
  </w:style>
  <w:style w:type="character" w:styleId="121">
    <w:name w:val="Указатель121"/>
    <w:link w:val="12121"/>
    <w:qFormat/>
    <w:rPr/>
  </w:style>
  <w:style w:type="character" w:styleId="Heading112">
    <w:name w:val="Heading 112"/>
    <w:link w:val="Heading1121"/>
    <w:qFormat/>
    <w:rPr>
      <w:rFonts w:ascii="XO Thames" w:hAnsi="XO Thames"/>
      <w:b/>
      <w:color w:val="000000"/>
      <w:spacing w:val="0"/>
      <w:sz w:val="32"/>
    </w:rPr>
  </w:style>
  <w:style w:type="character" w:styleId="12111">
    <w:name w:val="Заголовок12111"/>
    <w:link w:val="121112"/>
    <w:qFormat/>
    <w:rPr>
      <w:rFonts w:ascii="Open Sans" w:hAnsi="Open Sans"/>
      <w:sz w:val="28"/>
    </w:rPr>
  </w:style>
  <w:style w:type="character" w:styleId="PlainText1111">
    <w:name w:val="Plain Text1111"/>
    <w:link w:val="PlainText11111"/>
    <w:qFormat/>
    <w:rPr>
      <w:rFonts w:ascii="Calibri" w:hAnsi="Calibri"/>
    </w:rPr>
  </w:style>
  <w:style w:type="character" w:styleId="List131">
    <w:name w:val="List131"/>
    <w:basedOn w:val="Textbody1111"/>
    <w:link w:val="List1311"/>
    <w:qFormat/>
    <w:rPr/>
  </w:style>
  <w:style w:type="character" w:styleId="Heading51211">
    <w:name w:val="Heading 51211"/>
    <w:link w:val="Heading512111"/>
    <w:qFormat/>
    <w:rPr>
      <w:rFonts w:ascii="XO Thames" w:hAnsi="XO Thames"/>
      <w:b/>
      <w:color w:val="000000"/>
      <w:spacing w:val="0"/>
      <w:sz w:val="22"/>
    </w:rPr>
  </w:style>
  <w:style w:type="character" w:styleId="21211">
    <w:name w:val="Указатель21211"/>
    <w:link w:val="2121111"/>
    <w:qFormat/>
    <w:rPr/>
  </w:style>
  <w:style w:type="character" w:styleId="Contents3">
    <w:name w:val="Contents 3"/>
    <w:qFormat/>
    <w:rPr>
      <w:rFonts w:ascii="XO Thames" w:hAnsi="XO Thames"/>
      <w:color w:val="000000"/>
      <w:spacing w:val="0"/>
      <w:sz w:val="28"/>
    </w:rPr>
  </w:style>
  <w:style w:type="character" w:styleId="Heading3131">
    <w:name w:val="Heading 3131"/>
    <w:link w:val="Heading31311"/>
    <w:qFormat/>
    <w:rPr>
      <w:rFonts w:ascii="XO Thames" w:hAnsi="XO Thames"/>
      <w:b/>
      <w:color w:val="000000"/>
      <w:spacing w:val="0"/>
      <w:sz w:val="26"/>
    </w:rPr>
  </w:style>
  <w:style w:type="character" w:styleId="Contents811">
    <w:name w:val="Contents 811"/>
    <w:link w:val="Contents8111"/>
    <w:qFormat/>
    <w:rPr>
      <w:rFonts w:ascii="XO Thames" w:hAnsi="XO Thames"/>
      <w:color w:val="000000"/>
      <w:spacing w:val="0"/>
      <w:sz w:val="28"/>
    </w:rPr>
  </w:style>
  <w:style w:type="character" w:styleId="111111">
    <w:name w:val="Знак примечания11111"/>
    <w:basedOn w:val="111114"/>
    <w:link w:val="1111113"/>
    <w:qFormat/>
    <w:rPr>
      <w:sz w:val="16"/>
    </w:rPr>
  </w:style>
  <w:style w:type="character" w:styleId="Caption11">
    <w:name w:val="Caption11"/>
    <w:link w:val="Caption12"/>
    <w:qFormat/>
    <w:rPr>
      <w:i/>
      <w:sz w:val="24"/>
    </w:rPr>
  </w:style>
  <w:style w:type="character" w:styleId="Title2">
    <w:name w:val="Title2"/>
    <w:link w:val="Title21"/>
    <w:qFormat/>
    <w:rPr>
      <w:rFonts w:ascii="Open Sans" w:hAnsi="Open Sans"/>
      <w:color w:val="000000"/>
      <w:spacing w:val="0"/>
      <w:sz w:val="28"/>
    </w:rPr>
  </w:style>
  <w:style w:type="character" w:styleId="Contents31">
    <w:name w:val="Contents 31"/>
    <w:link w:val="Contents311"/>
    <w:qFormat/>
    <w:rPr>
      <w:rFonts w:ascii="XO Thames" w:hAnsi="XO Thames"/>
      <w:color w:val="000000"/>
      <w:spacing w:val="0"/>
      <w:sz w:val="28"/>
    </w:rPr>
  </w:style>
  <w:style w:type="character" w:styleId="51">
    <w:name w:val="Колонтитул5"/>
    <w:link w:val="513"/>
    <w:qFormat/>
    <w:rPr/>
  </w:style>
  <w:style w:type="character" w:styleId="Contents11111">
    <w:name w:val="Contents 11111"/>
    <w:link w:val="Contents111111"/>
    <w:qFormat/>
    <w:rPr>
      <w:rFonts w:ascii="XO Thames" w:hAnsi="XO Thames"/>
      <w:b/>
      <w:color w:val="000000"/>
      <w:spacing w:val="0"/>
      <w:sz w:val="28"/>
    </w:rPr>
  </w:style>
  <w:style w:type="character" w:styleId="Subtitle11">
    <w:name w:val="Subtitle11"/>
    <w:link w:val="Subtitle111"/>
    <w:qFormat/>
    <w:rPr>
      <w:rFonts w:ascii="XO Thames" w:hAnsi="XO Thames"/>
      <w:i/>
      <w:color w:val="000000"/>
      <w:spacing w:val="0"/>
      <w:sz w:val="24"/>
    </w:rPr>
  </w:style>
  <w:style w:type="character" w:styleId="Header11">
    <w:name w:val="Header11"/>
    <w:link w:val="Header13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Endnote1111">
    <w:name w:val="Endnote1111"/>
    <w:link w:val="Endnote11111"/>
    <w:qFormat/>
    <w:rPr>
      <w:rFonts w:ascii="XO Thames" w:hAnsi="XO Thames"/>
      <w:color w:val="000000"/>
      <w:spacing w:val="0"/>
      <w:sz w:val="22"/>
    </w:rPr>
  </w:style>
  <w:style w:type="character" w:styleId="Contents621">
    <w:name w:val="Contents 621"/>
    <w:link w:val="Contents6211"/>
    <w:qFormat/>
    <w:rPr>
      <w:rFonts w:ascii="XO Thames" w:hAnsi="XO Thames"/>
      <w:color w:val="000000"/>
      <w:spacing w:val="0"/>
      <w:sz w:val="28"/>
    </w:rPr>
  </w:style>
  <w:style w:type="character" w:styleId="Textbody11">
    <w:name w:val="Text body11"/>
    <w:link w:val="Textbody11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Contents21">
    <w:name w:val="Contents 21"/>
    <w:link w:val="Contents22"/>
    <w:qFormat/>
    <w:rPr>
      <w:rFonts w:ascii="XO Thames" w:hAnsi="XO Thames"/>
      <w:color w:val="000000"/>
      <w:spacing w:val="0"/>
      <w:sz w:val="28"/>
    </w:rPr>
  </w:style>
  <w:style w:type="character" w:styleId="Contents61111">
    <w:name w:val="Contents 61111"/>
    <w:link w:val="Contents611111"/>
    <w:qFormat/>
    <w:rPr>
      <w:rFonts w:ascii="XO Thames" w:hAnsi="XO Thames"/>
      <w:color w:val="000000"/>
      <w:spacing w:val="0"/>
      <w:sz w:val="28"/>
    </w:rPr>
  </w:style>
  <w:style w:type="character" w:styleId="Contents23">
    <w:name w:val="Contents 23"/>
    <w:link w:val="Contents231"/>
    <w:qFormat/>
    <w:rPr>
      <w:rFonts w:ascii="XO Thames" w:hAnsi="XO Thames"/>
      <w:color w:val="000000"/>
      <w:spacing w:val="0"/>
      <w:sz w:val="28"/>
    </w:rPr>
  </w:style>
  <w:style w:type="character" w:styleId="61">
    <w:name w:val="Содержимое врезки6"/>
    <w:link w:val="612"/>
    <w:qFormat/>
    <w:rPr/>
  </w:style>
  <w:style w:type="character" w:styleId="Heading22">
    <w:name w:val="Heading 22"/>
    <w:link w:val="Heading221"/>
    <w:qFormat/>
    <w:rPr>
      <w:rFonts w:ascii="XO Thames" w:hAnsi="XO Thames"/>
      <w:b/>
      <w:color w:val="000000"/>
      <w:spacing w:val="0"/>
      <w:sz w:val="28"/>
    </w:rPr>
  </w:style>
  <w:style w:type="character" w:styleId="111">
    <w:name w:val="Указатель111"/>
    <w:link w:val="11116"/>
    <w:qFormat/>
    <w:rPr/>
  </w:style>
  <w:style w:type="character" w:styleId="121111">
    <w:name w:val="Указатель12111"/>
    <w:link w:val="1211121"/>
    <w:qFormat/>
    <w:rPr/>
  </w:style>
  <w:style w:type="character" w:styleId="1111111">
    <w:name w:val="Заголовок 111111"/>
    <w:link w:val="11111111"/>
    <w:qFormat/>
    <w:rPr>
      <w:rFonts w:ascii="XO Thames" w:hAnsi="XO Thames"/>
      <w:b/>
      <w:color w:val="000000"/>
      <w:spacing w:val="0"/>
      <w:sz w:val="32"/>
    </w:rPr>
  </w:style>
  <w:style w:type="character" w:styleId="111112">
    <w:name w:val="Указатель11111"/>
    <w:link w:val="1111114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1211111">
    <w:name w:val="Указатель121111"/>
    <w:link w:val="12111111"/>
    <w:qFormat/>
    <w:rPr/>
  </w:style>
  <w:style w:type="character" w:styleId="Textbody1">
    <w:name w:val="Text body1"/>
    <w:link w:val="Textbody2"/>
    <w:qFormat/>
    <w:rPr/>
  </w:style>
  <w:style w:type="character" w:styleId="Internetlink">
    <w:name w:val="Internet link"/>
    <w:basedOn w:val="DefaultParagraphFont1111"/>
    <w:link w:val="Internetlink1"/>
    <w:qFormat/>
    <w:rPr>
      <w:color w:themeColor="hyperlink" w:val="0563C1"/>
      <w:u w:val="single"/>
    </w:rPr>
  </w:style>
  <w:style w:type="character" w:styleId="Contents21111">
    <w:name w:val="Contents 21111"/>
    <w:link w:val="Contents211111"/>
    <w:qFormat/>
    <w:rPr>
      <w:rFonts w:ascii="XO Thames" w:hAnsi="XO Thames"/>
      <w:color w:val="000000"/>
      <w:spacing w:val="0"/>
      <w:sz w:val="28"/>
    </w:rPr>
  </w:style>
  <w:style w:type="character" w:styleId="111113">
    <w:name w:val="Подзаголовок11111"/>
    <w:link w:val="1111115"/>
    <w:qFormat/>
    <w:rPr>
      <w:rFonts w:ascii="XO Thames" w:hAnsi="XO Thames"/>
      <w:i/>
      <w:color w:val="000000"/>
      <w:spacing w:val="0"/>
      <w:sz w:val="24"/>
    </w:rPr>
  </w:style>
  <w:style w:type="character" w:styleId="Style10">
    <w:name w:val="Символ нумерации"/>
    <w:link w:val="15"/>
    <w:qFormat/>
    <w:rPr>
      <w:rFonts w:ascii="Times New Roman" w:hAnsi="Times New Roman"/>
      <w:sz w:val="28"/>
    </w:rPr>
  </w:style>
  <w:style w:type="character" w:styleId="Contents33">
    <w:name w:val="Contents 33"/>
    <w:link w:val="Contents331"/>
    <w:qFormat/>
    <w:rPr>
      <w:rFonts w:ascii="XO Thames" w:hAnsi="XO Thames"/>
      <w:color w:val="000000"/>
      <w:spacing w:val="0"/>
      <w:sz w:val="28"/>
    </w:rPr>
  </w:style>
  <w:style w:type="character" w:styleId="Footnote211">
    <w:name w:val="Footnote211"/>
    <w:link w:val="Footnote2111"/>
    <w:qFormat/>
    <w:rPr>
      <w:rFonts w:ascii="XO Thames" w:hAnsi="XO Thames"/>
      <w:color w:val="000000"/>
      <w:spacing w:val="0"/>
      <w:sz w:val="22"/>
    </w:rPr>
  </w:style>
  <w:style w:type="character" w:styleId="Heading51">
    <w:name w:val="Heading 51"/>
    <w:qFormat/>
    <w:rPr>
      <w:rFonts w:ascii="XO Thames" w:hAnsi="XO Thames"/>
      <w:b/>
      <w:color w:val="000000"/>
      <w:spacing w:val="0"/>
      <w:sz w:val="22"/>
    </w:rPr>
  </w:style>
  <w:style w:type="character" w:styleId="41111">
    <w:name w:val="Содержимое врезки4111"/>
    <w:link w:val="411113"/>
    <w:qFormat/>
    <w:rPr/>
  </w:style>
  <w:style w:type="character" w:styleId="Heading11">
    <w:name w:val="Heading 11"/>
    <w:qFormat/>
    <w:rPr>
      <w:rFonts w:ascii="XO Thames" w:hAnsi="XO Thames"/>
      <w:b/>
      <w:color w:val="000000"/>
      <w:spacing w:val="0"/>
      <w:sz w:val="32"/>
    </w:rPr>
  </w:style>
  <w:style w:type="character" w:styleId="Footer2">
    <w:name w:val="Footer2"/>
    <w:qFormat/>
    <w:rPr>
      <w:rFonts w:ascii="Times New Roman" w:hAnsi="Times New Roman"/>
      <w:color w:val="000000"/>
      <w:spacing w:val="0"/>
      <w:sz w:val="28"/>
    </w:rPr>
  </w:style>
  <w:style w:type="character" w:styleId="1211112">
    <w:name w:val="Заголовок121111"/>
    <w:link w:val="12111112"/>
    <w:qFormat/>
    <w:rPr>
      <w:rFonts w:ascii="Open Sans" w:hAnsi="Open Sans"/>
      <w:sz w:val="28"/>
    </w:rPr>
  </w:style>
  <w:style w:type="character" w:styleId="Heading31211">
    <w:name w:val="Heading 31211"/>
    <w:link w:val="Heading312111"/>
    <w:qFormat/>
    <w:rPr>
      <w:rFonts w:ascii="XO Thames" w:hAnsi="XO Thames"/>
      <w:b/>
      <w:color w:val="000000"/>
      <w:spacing w:val="0"/>
      <w:sz w:val="26"/>
    </w:rPr>
  </w:style>
  <w:style w:type="character" w:styleId="Caption111">
    <w:name w:val="Caption111"/>
    <w:link w:val="Caption1111"/>
    <w:qFormat/>
    <w:rPr>
      <w:rFonts w:ascii="Calibri" w:hAnsi="Calibri" w:asciiTheme="minorAscii" w:hAnsiTheme="minorHAnsi"/>
      <w:i/>
      <w:color w:val="000000"/>
      <w:spacing w:val="0"/>
      <w:sz w:val="24"/>
    </w:rPr>
  </w:style>
  <w:style w:type="character" w:styleId="11112">
    <w:name w:val="Символ нумерации1111"/>
    <w:link w:val="1111110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Heading21111">
    <w:name w:val="Heading 21111"/>
    <w:link w:val="Heading211111"/>
    <w:qFormat/>
    <w:rPr>
      <w:rFonts w:ascii="XO Thames" w:hAnsi="XO Thames"/>
      <w:b/>
      <w:color w:val="000000"/>
      <w:spacing w:val="0"/>
      <w:sz w:val="28"/>
    </w:rPr>
  </w:style>
  <w:style w:type="character" w:styleId="2111">
    <w:name w:val="Колонтитул2111"/>
    <w:link w:val="211112"/>
    <w:qFormat/>
    <w:rPr/>
  </w:style>
  <w:style w:type="character" w:styleId="111114">
    <w:name w:val="Основной шрифт абзаца11111"/>
    <w:link w:val="1111116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Hyperlink">
    <w:name w:val="Hyperlink"/>
    <w:basedOn w:val="DefaultParagraphFont1111"/>
    <w:rPr>
      <w:color w:themeColor="hyperlink" w:val="0563C1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Contents121">
    <w:name w:val="Contents 121"/>
    <w:link w:val="Contents1211"/>
    <w:qFormat/>
    <w:rPr>
      <w:rFonts w:ascii="XO Thames" w:hAnsi="XO Thames"/>
      <w:b/>
      <w:color w:val="000000"/>
      <w:spacing w:val="0"/>
      <w:sz w:val="28"/>
    </w:rPr>
  </w:style>
  <w:style w:type="character" w:styleId="Annotationsubject1111">
    <w:name w:val="annotation subject1111"/>
    <w:basedOn w:val="Annotationtext1111"/>
    <w:link w:val="Annotationsubject11111"/>
    <w:qFormat/>
    <w:rPr>
      <w:b/>
    </w:rPr>
  </w:style>
  <w:style w:type="character" w:styleId="Contents11">
    <w:name w:val="Contents 11"/>
    <w:qFormat/>
    <w:rPr>
      <w:rFonts w:ascii="XO Thames" w:hAnsi="XO Thames"/>
      <w:b/>
      <w:color w:val="000000"/>
      <w:spacing w:val="0"/>
      <w:sz w:val="28"/>
    </w:rPr>
  </w:style>
  <w:style w:type="character" w:styleId="2112111">
    <w:name w:val="Указатель211211"/>
    <w:link w:val="21121112"/>
    <w:qFormat/>
    <w:rPr/>
  </w:style>
  <w:style w:type="character" w:styleId="21111">
    <w:name w:val="Содержимое таблицы2111"/>
    <w:link w:val="211113"/>
    <w:qFormat/>
    <w:rPr/>
  </w:style>
  <w:style w:type="character" w:styleId="Contents41111">
    <w:name w:val="Contents 41111"/>
    <w:link w:val="Contents411111"/>
    <w:qFormat/>
    <w:rPr>
      <w:rFonts w:ascii="XO Thames" w:hAnsi="XO Thames"/>
      <w:color w:val="000000"/>
      <w:spacing w:val="0"/>
      <w:sz w:val="28"/>
    </w:rPr>
  </w:style>
  <w:style w:type="character" w:styleId="Contents61">
    <w:name w:val="Contents 61"/>
    <w:link w:val="Contents62"/>
    <w:qFormat/>
    <w:rPr>
      <w:rFonts w:ascii="XO Thames" w:hAnsi="XO Thames"/>
      <w:color w:val="000000"/>
      <w:spacing w:val="0"/>
      <w:sz w:val="28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Subtitle211">
    <w:name w:val="Subtitle211"/>
    <w:link w:val="Subtitle2111"/>
    <w:qFormat/>
    <w:rPr>
      <w:rFonts w:ascii="XO Thames" w:hAnsi="XO Thames"/>
      <w:i/>
      <w:color w:val="000000"/>
      <w:spacing w:val="0"/>
      <w:sz w:val="24"/>
    </w:rPr>
  </w:style>
  <w:style w:type="character" w:styleId="Contents51111">
    <w:name w:val="Contents 51111"/>
    <w:link w:val="Contents511111"/>
    <w:qFormat/>
    <w:rPr>
      <w:rFonts w:ascii="XO Thames" w:hAnsi="XO Thames"/>
      <w:color w:val="000000"/>
      <w:spacing w:val="0"/>
      <w:sz w:val="28"/>
    </w:rPr>
  </w:style>
  <w:style w:type="character" w:styleId="1211">
    <w:name w:val="Заголовок1211"/>
    <w:link w:val="121121"/>
    <w:qFormat/>
    <w:rPr>
      <w:rFonts w:ascii="Open Sans" w:hAnsi="Open Sans"/>
      <w:sz w:val="28"/>
    </w:rPr>
  </w:style>
  <w:style w:type="character" w:styleId="Contents521">
    <w:name w:val="Contents 521"/>
    <w:link w:val="Contents5211"/>
    <w:qFormat/>
    <w:rPr>
      <w:rFonts w:ascii="XO Thames" w:hAnsi="XO Thames"/>
      <w:color w:val="000000"/>
      <w:spacing w:val="0"/>
      <w:sz w:val="28"/>
    </w:rPr>
  </w:style>
  <w:style w:type="character" w:styleId="Title1111">
    <w:name w:val="Title1111"/>
    <w:link w:val="Title11111"/>
    <w:qFormat/>
    <w:rPr>
      <w:rFonts w:ascii="Open Sans" w:hAnsi="Open Sans"/>
      <w:color w:val="000000"/>
      <w:spacing w:val="0"/>
      <w:sz w:val="28"/>
    </w:rPr>
  </w:style>
  <w:style w:type="character" w:styleId="List12">
    <w:name w:val="List12"/>
    <w:basedOn w:val="Textbody1111"/>
    <w:link w:val="List121"/>
    <w:qFormat/>
    <w:rPr/>
  </w:style>
  <w:style w:type="character" w:styleId="Contents911">
    <w:name w:val="Contents 911"/>
    <w:link w:val="Contents9111"/>
    <w:qFormat/>
    <w:rPr>
      <w:rFonts w:ascii="XO Thames" w:hAnsi="XO Thames"/>
      <w:color w:val="000000"/>
      <w:spacing w:val="0"/>
      <w:sz w:val="28"/>
    </w:rPr>
  </w:style>
  <w:style w:type="character" w:styleId="212111">
    <w:name w:val="Заголовок21211"/>
    <w:link w:val="2121112"/>
    <w:qFormat/>
    <w:rPr>
      <w:rFonts w:ascii="Open Sans" w:hAnsi="Open Sans"/>
      <w:sz w:val="28"/>
    </w:rPr>
  </w:style>
  <w:style w:type="character" w:styleId="11">
    <w:name w:val="Содержимое врезки1"/>
    <w:link w:val="113"/>
    <w:qFormat/>
    <w:rPr/>
  </w:style>
  <w:style w:type="character" w:styleId="Contents51">
    <w:name w:val="Contents 51"/>
    <w:link w:val="Contents511"/>
    <w:qFormat/>
    <w:rPr>
      <w:rFonts w:ascii="XO Thames" w:hAnsi="XO Thames"/>
      <w:color w:val="000000"/>
      <w:spacing w:val="0"/>
      <w:sz w:val="28"/>
    </w:rPr>
  </w:style>
  <w:style w:type="character" w:styleId="Caption21">
    <w:name w:val="Caption21"/>
    <w:link w:val="Caption211"/>
    <w:qFormat/>
    <w:rPr>
      <w:rFonts w:ascii="Calibri" w:hAnsi="Calibri" w:asciiTheme="minorAscii" w:hAnsiTheme="minorHAnsi"/>
      <w:i/>
      <w:color w:val="000000"/>
      <w:spacing w:val="0"/>
      <w:sz w:val="24"/>
    </w:rPr>
  </w:style>
  <w:style w:type="character" w:styleId="1212">
    <w:name w:val="Заголовок121"/>
    <w:link w:val="12122"/>
    <w:qFormat/>
    <w:rPr>
      <w:rFonts w:ascii="Open Sans" w:hAnsi="Open Sans"/>
      <w:sz w:val="28"/>
    </w:rPr>
  </w:style>
  <w:style w:type="character" w:styleId="Contents9">
    <w:name w:val="Contents 9"/>
    <w:qFormat/>
    <w:rPr>
      <w:rFonts w:ascii="XO Thames" w:hAnsi="XO Thames"/>
      <w:color w:val="000000"/>
      <w:spacing w:val="0"/>
      <w:sz w:val="28"/>
    </w:rPr>
  </w:style>
  <w:style w:type="character" w:styleId="Internetlink11">
    <w:name w:val="Internet link11"/>
    <w:basedOn w:val="DefaultParagraphFont1111"/>
    <w:link w:val="Internetlink111"/>
    <w:qFormat/>
    <w:rPr>
      <w:color w:themeColor="hyperlink" w:val="0563C1"/>
      <w:u w:val="single"/>
    </w:rPr>
  </w:style>
  <w:style w:type="character" w:styleId="Heading111">
    <w:name w:val="Heading 111"/>
    <w:link w:val="Heading113"/>
    <w:qFormat/>
    <w:rPr>
      <w:rFonts w:ascii="XO Thames" w:hAnsi="XO Thames"/>
      <w:b/>
      <w:color w:val="000000"/>
      <w:spacing w:val="0"/>
      <w:sz w:val="32"/>
    </w:rPr>
  </w:style>
  <w:style w:type="character" w:styleId="5111">
    <w:name w:val="Содержимое врезки511"/>
    <w:link w:val="51112"/>
    <w:qFormat/>
    <w:rPr/>
  </w:style>
  <w:style w:type="character" w:styleId="Docdata1111">
    <w:name w:val="docdata1111"/>
    <w:basedOn w:val="111114"/>
    <w:link w:val="Docdata11111"/>
    <w:qFormat/>
    <w:rPr/>
  </w:style>
  <w:style w:type="character" w:styleId="Title11">
    <w:name w:val="Title11"/>
    <w:link w:val="Title111"/>
    <w:qFormat/>
    <w:rPr>
      <w:rFonts w:ascii="Open Sans" w:hAnsi="Open Sans"/>
      <w:color w:val="000000"/>
      <w:spacing w:val="0"/>
      <w:sz w:val="28"/>
    </w:rPr>
  </w:style>
  <w:style w:type="character" w:styleId="1112">
    <w:name w:val="Заголовок111"/>
    <w:link w:val="11117"/>
    <w:qFormat/>
    <w:rPr>
      <w:rFonts w:ascii="Open Sans" w:hAnsi="Open Sans"/>
      <w:sz w:val="28"/>
    </w:rPr>
  </w:style>
  <w:style w:type="character" w:styleId="Contents421">
    <w:name w:val="Contents 421"/>
    <w:link w:val="Contents4211"/>
    <w:qFormat/>
    <w:rPr>
      <w:rFonts w:ascii="XO Thames" w:hAnsi="XO Thames"/>
      <w:color w:val="000000"/>
      <w:spacing w:val="0"/>
      <w:sz w:val="28"/>
    </w:rPr>
  </w:style>
  <w:style w:type="character" w:styleId="21112">
    <w:name w:val="Содержимое врезки2111"/>
    <w:link w:val="211114"/>
    <w:qFormat/>
    <w:rPr/>
  </w:style>
  <w:style w:type="character" w:styleId="Heading312">
    <w:name w:val="Heading 312"/>
    <w:link w:val="Heading3121"/>
    <w:qFormat/>
    <w:rPr>
      <w:rFonts w:ascii="XO Thames" w:hAnsi="XO Thames"/>
      <w:b/>
      <w:color w:val="000000"/>
      <w:spacing w:val="0"/>
      <w:sz w:val="26"/>
    </w:rPr>
  </w:style>
  <w:style w:type="character" w:styleId="Header1111">
    <w:name w:val="Header1111"/>
    <w:link w:val="Header1111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22111">
    <w:name w:val="Указатель2211"/>
    <w:link w:val="221112"/>
    <w:qFormat/>
    <w:rPr/>
  </w:style>
  <w:style w:type="character" w:styleId="Annotationtext1111">
    <w:name w:val="annotation text1111"/>
    <w:link w:val="Annotationtext11111"/>
    <w:qFormat/>
    <w:rPr>
      <w:sz w:val="20"/>
    </w:rPr>
  </w:style>
  <w:style w:type="character" w:styleId="Contents8">
    <w:name w:val="Contents 8"/>
    <w:qFormat/>
    <w:rPr>
      <w:rFonts w:ascii="XO Thames" w:hAnsi="XO Thames"/>
      <w:color w:val="000000"/>
      <w:spacing w:val="0"/>
      <w:sz w:val="28"/>
    </w:rPr>
  </w:style>
  <w:style w:type="character" w:styleId="Textbody1111">
    <w:name w:val="Text body1111"/>
    <w:link w:val="Textbody1111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Heading512">
    <w:name w:val="Heading 512"/>
    <w:link w:val="Heading5121"/>
    <w:qFormat/>
    <w:rPr>
      <w:rFonts w:ascii="XO Thames" w:hAnsi="XO Thames"/>
      <w:b/>
      <w:color w:val="000000"/>
      <w:spacing w:val="0"/>
      <w:sz w:val="22"/>
    </w:rPr>
  </w:style>
  <w:style w:type="character" w:styleId="11113">
    <w:name w:val="Колонтитул1111"/>
    <w:link w:val="1111117"/>
    <w:qFormat/>
    <w:rPr>
      <w:rFonts w:ascii="XO Thames" w:hAnsi="XO Thames"/>
      <w:color w:val="000000"/>
      <w:spacing w:val="0"/>
      <w:sz w:val="20"/>
    </w:rPr>
  </w:style>
  <w:style w:type="character" w:styleId="2111111">
    <w:name w:val="Указатель2111111"/>
    <w:link w:val="211111111"/>
    <w:qFormat/>
    <w:rPr/>
  </w:style>
  <w:style w:type="character" w:styleId="Contents91111">
    <w:name w:val="Contents 91111"/>
    <w:link w:val="Contents911111"/>
    <w:qFormat/>
    <w:rPr>
      <w:rFonts w:ascii="XO Thames" w:hAnsi="XO Thames"/>
      <w:color w:val="000000"/>
      <w:spacing w:val="0"/>
      <w:sz w:val="28"/>
    </w:rPr>
  </w:style>
  <w:style w:type="character" w:styleId="Contents71111">
    <w:name w:val="Contents 71111"/>
    <w:link w:val="Contents711111"/>
    <w:qFormat/>
    <w:rPr>
      <w:rFonts w:ascii="XO Thames" w:hAnsi="XO Thames"/>
      <w:color w:val="000000"/>
      <w:spacing w:val="0"/>
      <w:sz w:val="28"/>
    </w:rPr>
  </w:style>
  <w:style w:type="character" w:styleId="11114">
    <w:name w:val="Содержимое таблицы1111"/>
    <w:link w:val="1111118"/>
    <w:qFormat/>
    <w:rPr/>
  </w:style>
  <w:style w:type="character" w:styleId="Header211">
    <w:name w:val="Header211"/>
    <w:link w:val="Header211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21113">
    <w:name w:val="Заголовок таблицы2111"/>
    <w:basedOn w:val="21111"/>
    <w:link w:val="211115"/>
    <w:qFormat/>
    <w:rPr>
      <w:b/>
    </w:rPr>
  </w:style>
  <w:style w:type="character" w:styleId="12">
    <w:name w:val="Указатель1"/>
    <w:link w:val="114"/>
    <w:qFormat/>
    <w:rPr/>
  </w:style>
  <w:style w:type="character" w:styleId="211111">
    <w:name w:val="Заголовок 211111"/>
    <w:link w:val="21111112"/>
    <w:qFormat/>
    <w:rPr>
      <w:rFonts w:ascii="XO Thames" w:hAnsi="XO Thames"/>
      <w:b/>
      <w:color w:val="000000"/>
      <w:spacing w:val="0"/>
      <w:sz w:val="28"/>
    </w:rPr>
  </w:style>
  <w:style w:type="character" w:styleId="Heading511">
    <w:name w:val="Heading 511"/>
    <w:link w:val="Heading513"/>
    <w:qFormat/>
    <w:rPr>
      <w:rFonts w:ascii="XO Thames" w:hAnsi="XO Thames"/>
      <w:b/>
      <w:color w:val="000000"/>
      <w:spacing w:val="0"/>
      <w:sz w:val="22"/>
    </w:rPr>
  </w:style>
  <w:style w:type="character" w:styleId="13">
    <w:name w:val="Колонтитул1"/>
    <w:link w:val="115"/>
    <w:qFormat/>
    <w:rPr>
      <w:rFonts w:ascii="XO Thames" w:hAnsi="XO Thames"/>
      <w:color w:val="000000"/>
      <w:spacing w:val="0"/>
      <w:sz w:val="20"/>
    </w:rPr>
  </w:style>
  <w:style w:type="character" w:styleId="Contents5">
    <w:name w:val="Contents 5"/>
    <w:qFormat/>
    <w:rPr>
      <w:rFonts w:ascii="XO Thames" w:hAnsi="XO Thames"/>
      <w:color w:val="000000"/>
      <w:spacing w:val="0"/>
      <w:sz w:val="28"/>
    </w:rPr>
  </w:style>
  <w:style w:type="character" w:styleId="Heading11111">
    <w:name w:val="Heading 11111"/>
    <w:link w:val="Heading111111"/>
    <w:qFormat/>
    <w:rPr>
      <w:rFonts w:ascii="XO Thames" w:hAnsi="XO Thames"/>
      <w:b/>
      <w:color w:val="000000"/>
      <w:spacing w:val="0"/>
      <w:sz w:val="32"/>
    </w:rPr>
  </w:style>
  <w:style w:type="character" w:styleId="List11">
    <w:name w:val="List11"/>
    <w:basedOn w:val="Textbody1111"/>
    <w:link w:val="List13"/>
    <w:qFormat/>
    <w:rPr/>
  </w:style>
  <w:style w:type="character" w:styleId="Contents71">
    <w:name w:val="Contents 71"/>
    <w:link w:val="Contents72"/>
    <w:qFormat/>
    <w:rPr>
      <w:rFonts w:ascii="XO Thames" w:hAnsi="XO Thames"/>
      <w:color w:val="000000"/>
      <w:spacing w:val="0"/>
      <w:sz w:val="28"/>
    </w:rPr>
  </w:style>
  <w:style w:type="character" w:styleId="31111">
    <w:name w:val="Содержимое врезки3111"/>
    <w:link w:val="311113"/>
    <w:qFormat/>
    <w:rPr/>
  </w:style>
  <w:style w:type="character" w:styleId="Contents53">
    <w:name w:val="Contents 53"/>
    <w:link w:val="Contents531"/>
    <w:qFormat/>
    <w:rPr>
      <w:rFonts w:ascii="XO Thames" w:hAnsi="XO Thames"/>
      <w:color w:val="000000"/>
      <w:spacing w:val="0"/>
      <w:sz w:val="28"/>
    </w:rPr>
  </w:style>
  <w:style w:type="character" w:styleId="ListParagraph1111">
    <w:name w:val="List Paragraph1111"/>
    <w:link w:val="ListParagraph11111"/>
    <w:qFormat/>
    <w:rPr/>
  </w:style>
  <w:style w:type="character" w:styleId="Contents31111">
    <w:name w:val="Contents 31111"/>
    <w:link w:val="Contents311111"/>
    <w:qFormat/>
    <w:rPr>
      <w:rFonts w:ascii="XO Thames" w:hAnsi="XO Thames"/>
      <w:color w:val="000000"/>
      <w:spacing w:val="0"/>
      <w:sz w:val="28"/>
    </w:rPr>
  </w:style>
  <w:style w:type="character" w:styleId="Contents821">
    <w:name w:val="Contents 821"/>
    <w:link w:val="Contents8211"/>
    <w:qFormat/>
    <w:rPr>
      <w:rFonts w:ascii="XO Thames" w:hAnsi="XO Thames"/>
      <w:color w:val="000000"/>
      <w:spacing w:val="0"/>
      <w:sz w:val="28"/>
    </w:rPr>
  </w:style>
  <w:style w:type="character" w:styleId="Contents81">
    <w:name w:val="Contents 81"/>
    <w:link w:val="Contents82"/>
    <w:qFormat/>
    <w:rPr>
      <w:rFonts w:ascii="XO Thames" w:hAnsi="XO Thames"/>
      <w:color w:val="000000"/>
      <w:spacing w:val="0"/>
      <w:sz w:val="28"/>
    </w:rPr>
  </w:style>
  <w:style w:type="character" w:styleId="Style11">
    <w:name w:val="Заголовок таблицы"/>
    <w:basedOn w:val="Style9"/>
    <w:link w:val="16"/>
    <w:qFormat/>
    <w:rPr>
      <w:b/>
    </w:rPr>
  </w:style>
  <w:style w:type="character" w:styleId="4">
    <w:name w:val="Содержимое врезки4"/>
    <w:link w:val="411"/>
    <w:qFormat/>
    <w:rPr/>
  </w:style>
  <w:style w:type="character" w:styleId="Footnote2">
    <w:name w:val="Footnote2"/>
    <w:link w:val="Footnote21"/>
    <w:qFormat/>
    <w:rPr>
      <w:rFonts w:ascii="XO Thames" w:hAnsi="XO Thames"/>
      <w:color w:val="000000"/>
      <w:spacing w:val="0"/>
      <w:sz w:val="22"/>
    </w:rPr>
  </w:style>
  <w:style w:type="character" w:styleId="111115">
    <w:name w:val="Название объекта11111"/>
    <w:link w:val="1111119"/>
    <w:qFormat/>
    <w:rPr>
      <w:rFonts w:ascii="Calibri" w:hAnsi="Calibri" w:asciiTheme="minorAscii" w:hAnsiTheme="minorHAnsi"/>
      <w:i/>
      <w:color w:val="000000"/>
      <w:spacing w:val="0"/>
      <w:sz w:val="24"/>
    </w:rPr>
  </w:style>
  <w:style w:type="character" w:styleId="Subtitle1">
    <w:name w:val="Subtitle1"/>
    <w:qFormat/>
    <w:rPr>
      <w:rFonts w:ascii="XO Thames" w:hAnsi="XO Thames"/>
      <w:i/>
      <w:color w:val="000000"/>
      <w:spacing w:val="0"/>
      <w:sz w:val="24"/>
    </w:rPr>
  </w:style>
  <w:style w:type="character" w:styleId="111116">
    <w:name w:val="Список11111"/>
    <w:basedOn w:val="Textbody1111"/>
    <w:link w:val="11111110"/>
    <w:qFormat/>
    <w:rPr/>
  </w:style>
  <w:style w:type="character" w:styleId="2">
    <w:name w:val="Колонтитул2"/>
    <w:link w:val="211"/>
    <w:qFormat/>
    <w:rPr/>
  </w:style>
  <w:style w:type="character" w:styleId="12112">
    <w:name w:val="Указатель1211"/>
    <w:link w:val="121122"/>
    <w:qFormat/>
    <w:rPr/>
  </w:style>
  <w:style w:type="character" w:styleId="122">
    <w:name w:val="Заголовок12"/>
    <w:link w:val="1221"/>
    <w:qFormat/>
    <w:rPr>
      <w:rFonts w:ascii="Open Sans" w:hAnsi="Open Sans"/>
      <w:sz w:val="28"/>
    </w:rPr>
  </w:style>
  <w:style w:type="character" w:styleId="11115">
    <w:name w:val="Содержимое врезки1111"/>
    <w:link w:val="1111120"/>
    <w:qFormat/>
    <w:rPr/>
  </w:style>
  <w:style w:type="character" w:styleId="Title1">
    <w:name w:val="Title1"/>
    <w:qFormat/>
    <w:rPr>
      <w:rFonts w:ascii="Open Sans" w:hAnsi="Open Sans"/>
      <w:color w:val="000000"/>
      <w:spacing w:val="0"/>
      <w:sz w:val="28"/>
    </w:rPr>
  </w:style>
  <w:style w:type="character" w:styleId="Heading41">
    <w:name w:val="Heading 41"/>
    <w:qFormat/>
    <w:rPr>
      <w:rFonts w:ascii="XO Thames" w:hAnsi="XO Thames"/>
      <w:b/>
      <w:color w:val="000000"/>
      <w:spacing w:val="0"/>
      <w:sz w:val="24"/>
    </w:rPr>
  </w:style>
  <w:style w:type="character" w:styleId="111117">
    <w:name w:val="Верхний колонтитул11111"/>
    <w:link w:val="11111112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Heading411">
    <w:name w:val="Heading 411"/>
    <w:link w:val="Heading4111"/>
    <w:qFormat/>
    <w:rPr>
      <w:rFonts w:ascii="XO Thames" w:hAnsi="XO Thames"/>
      <w:b/>
      <w:color w:val="000000"/>
      <w:spacing w:val="0"/>
      <w:sz w:val="24"/>
    </w:rPr>
  </w:style>
  <w:style w:type="character" w:styleId="31">
    <w:name w:val="Содержимое врезки3"/>
    <w:link w:val="312"/>
    <w:qFormat/>
    <w:rPr/>
  </w:style>
  <w:style w:type="character" w:styleId="Heading21">
    <w:name w:val="Heading 21"/>
    <w:qFormat/>
    <w:rPr>
      <w:rFonts w:ascii="XO Thames" w:hAnsi="XO Thames"/>
      <w:b/>
      <w:color w:val="000000"/>
      <w:spacing w:val="0"/>
      <w:sz w:val="28"/>
    </w:rPr>
  </w:style>
  <w:style w:type="character" w:styleId="Contents73">
    <w:name w:val="Contents 73"/>
    <w:link w:val="Contents731"/>
    <w:qFormat/>
    <w:rPr>
      <w:rFonts w:ascii="XO Thames" w:hAnsi="XO Thames"/>
      <w:color w:val="000000"/>
      <w:spacing w:val="0"/>
      <w:sz w:val="28"/>
    </w:rPr>
  </w:style>
  <w:style w:type="character" w:styleId="41">
    <w:name w:val="Колонтитул4"/>
    <w:link w:val="412"/>
    <w:qFormat/>
    <w:rPr/>
  </w:style>
  <w:style w:type="character" w:styleId="Contents721">
    <w:name w:val="Contents 721"/>
    <w:link w:val="Contents7211"/>
    <w:qFormat/>
    <w:rPr>
      <w:rFonts w:ascii="XO Thames" w:hAnsi="XO Thames"/>
      <w:color w:val="000000"/>
      <w:spacing w:val="0"/>
      <w:sz w:val="28"/>
    </w:rPr>
  </w:style>
  <w:style w:type="character" w:styleId="111118">
    <w:name w:val="Заголовок11111"/>
    <w:link w:val="11111113"/>
    <w:qFormat/>
    <w:rPr>
      <w:rFonts w:ascii="Open Sans" w:hAnsi="Open Sans"/>
      <w:color w:val="000000"/>
      <w:spacing w:val="0"/>
      <w:sz w:val="28"/>
    </w:rPr>
  </w:style>
  <w:style w:type="character" w:styleId="Heading1211">
    <w:name w:val="Heading 1211"/>
    <w:link w:val="Heading12111"/>
    <w:qFormat/>
    <w:rPr>
      <w:rFonts w:ascii="XO Thames" w:hAnsi="XO Thames"/>
      <w:b/>
      <w:color w:val="000000"/>
      <w:spacing w:val="0"/>
      <w:sz w:val="32"/>
    </w:rPr>
  </w:style>
  <w:style w:type="character" w:styleId="Contents91">
    <w:name w:val="Contents 91"/>
    <w:link w:val="Contents92"/>
    <w:qFormat/>
    <w:rPr>
      <w:rFonts w:ascii="XO Thames" w:hAnsi="XO Thames"/>
      <w:color w:val="000000"/>
      <w:spacing w:val="0"/>
      <w:sz w:val="28"/>
    </w:rPr>
  </w:style>
  <w:style w:type="character" w:styleId="311111">
    <w:name w:val="Заголовок 311111"/>
    <w:link w:val="3111111"/>
    <w:qFormat/>
    <w:rPr>
      <w:rFonts w:ascii="XO Thames" w:hAnsi="XO Thames"/>
      <w:b/>
      <w:color w:val="000000"/>
      <w:spacing w:val="0"/>
      <w:sz w:val="26"/>
    </w:rPr>
  </w:style>
  <w:style w:type="character" w:styleId="123">
    <w:name w:val="Указатель12"/>
    <w:link w:val="1222"/>
    <w:qFormat/>
    <w:rPr/>
  </w:style>
  <w:style w:type="character" w:styleId="21">
    <w:name w:val="Содержимое врезки2"/>
    <w:link w:val="212"/>
    <w:qFormat/>
    <w:rPr/>
  </w:style>
  <w:style w:type="character" w:styleId="21111111">
    <w:name w:val="Заголовок2111111"/>
    <w:link w:val="211111112"/>
    <w:qFormat/>
    <w:rPr>
      <w:rFonts w:ascii="Open Sans" w:hAnsi="Open Sans"/>
      <w:sz w:val="28"/>
    </w:rPr>
  </w:style>
  <w:style w:type="paragraph" w:styleId="Style12">
    <w:name w:val="Заголовок"/>
    <w:basedOn w:val="Normal"/>
    <w:next w:val="BodyText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11111"/>
    <w:pPr/>
    <w:rPr/>
  </w:style>
  <w:style w:type="paragraph" w:styleId="Caption">
    <w:name w:val="Caption"/>
    <w:basedOn w:val="Normal"/>
    <w:qFormat/>
    <w:pPr>
      <w:spacing w:before="120" w:after="120"/>
    </w:pPr>
    <w:rPr>
      <w:i/>
      <w:sz w:val="24"/>
    </w:rPr>
  </w:style>
  <w:style w:type="paragraph" w:styleId="Style13">
    <w:name w:val="Указатель"/>
    <w:basedOn w:val="Normal"/>
    <w:qFormat/>
    <w:pPr>
      <w:suppressLineNumbers/>
    </w:pPr>
    <w:rPr>
      <w:rFonts w:cs="Lohit Devanagari"/>
    </w:rPr>
  </w:style>
  <w:style w:type="paragraph" w:styleId="TOC2">
    <w:name w:val="TOC 2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20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311">
    <w:name w:val="Колонтитул31"/>
    <w:basedOn w:val="Normal"/>
    <w:link w:val="3"/>
    <w:qFormat/>
    <w:pPr/>
    <w:rPr/>
  </w:style>
  <w:style w:type="paragraph" w:styleId="1111112">
    <w:name w:val="Нижний колонтитул111111"/>
    <w:link w:val="11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512">
    <w:name w:val="Содержимое врезки51"/>
    <w:basedOn w:val="Normal"/>
    <w:link w:val="5"/>
    <w:qFormat/>
    <w:pPr/>
    <w:rPr/>
  </w:style>
  <w:style w:type="paragraph" w:styleId="Footnote11111">
    <w:name w:val="Footnote11111"/>
    <w:link w:val="Footnote1111"/>
    <w:qFormat/>
    <w:pPr>
      <w:widowControl/>
      <w:suppressAutoHyphens w:val="true"/>
      <w:bidi w:val="0"/>
      <w:spacing w:lineRule="auto" w:line="240" w:before="0" w:after="0"/>
      <w:ind w:firstLine="851" w:left="0" w:right="0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TOC4">
    <w:name w:val="TOC 4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60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Heading51311">
    <w:name w:val="Heading 51311"/>
    <w:link w:val="Heading513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Heading411111">
    <w:name w:val="Heading 411111"/>
    <w:link w:val="Heading41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Heading42111">
    <w:name w:val="Heading 42111"/>
    <w:link w:val="Heading42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Contents9211">
    <w:name w:val="Contents 9211"/>
    <w:link w:val="Contents92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4111111">
    <w:name w:val="Заголовок 4111111"/>
    <w:link w:val="411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TOC6">
    <w:name w:val="TOC 6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100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Heading421">
    <w:name w:val="Heading 421"/>
    <w:link w:val="Heading4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Heading22111">
    <w:name w:val="Heading 22111"/>
    <w:link w:val="Heading22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TOC7">
    <w:name w:val="TOC 7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120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4">
    <w:name w:val="Содержимое таблицы1"/>
    <w:basedOn w:val="Normal"/>
    <w:link w:val="Style9"/>
    <w:qFormat/>
    <w:pPr>
      <w:widowControl w:val="false"/>
    </w:pPr>
    <w:rPr/>
  </w:style>
  <w:style w:type="paragraph" w:styleId="Contents42">
    <w:name w:val="Contents 42"/>
    <w:link w:val="Contents4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Footer12111">
    <w:name w:val="Footer12111"/>
    <w:link w:val="Footer12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Footer1311">
    <w:name w:val="Footer1311"/>
    <w:link w:val="Footer13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Indexheading11111">
    <w:name w:val="index heading11111"/>
    <w:basedOn w:val="Normal"/>
    <w:link w:val="Indexheading1111"/>
    <w:qFormat/>
    <w:pPr/>
    <w:rPr/>
  </w:style>
  <w:style w:type="paragraph" w:styleId="411112">
    <w:name w:val="Колонтитул41111"/>
    <w:basedOn w:val="Normal"/>
    <w:link w:val="4111"/>
    <w:qFormat/>
    <w:pPr/>
    <w:rPr/>
  </w:style>
  <w:style w:type="paragraph" w:styleId="Footer11">
    <w:name w:val="Footer11"/>
    <w:link w:val="Footer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Heading2111">
    <w:name w:val="Heading 2111"/>
    <w:link w:val="Heading2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611">
    <w:name w:val="Колонтитул61"/>
    <w:basedOn w:val="Normal"/>
    <w:link w:val="6"/>
    <w:qFormat/>
    <w:pPr/>
    <w:rPr/>
  </w:style>
  <w:style w:type="paragraph" w:styleId="Contents431">
    <w:name w:val="Contents 431"/>
    <w:link w:val="Contents43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Bx-messenger-ajax11111">
    <w:name w:val="bx-messenger-ajax11111"/>
    <w:basedOn w:val="1111116"/>
    <w:link w:val="Bx-messenger-ajax1111"/>
    <w:qFormat/>
    <w:pPr/>
    <w:rPr/>
  </w:style>
  <w:style w:type="paragraph" w:styleId="Style14">
    <w:name w:val="Колонтитул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Header">
    <w:name w:val="Header"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311112">
    <w:name w:val="Колонтитул31111"/>
    <w:basedOn w:val="Normal"/>
    <w:link w:val="3111"/>
    <w:qFormat/>
    <w:pPr/>
    <w:rPr/>
  </w:style>
  <w:style w:type="paragraph" w:styleId="DefaultParagraphFont11111">
    <w:name w:val="Default Paragraph Font11111"/>
    <w:link w:val="DefaultParagraphFont1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221111">
    <w:name w:val="Заголовок22111"/>
    <w:basedOn w:val="Normal"/>
    <w:next w:val="BodyText"/>
    <w:link w:val="2211"/>
    <w:qFormat/>
    <w:pPr>
      <w:keepNext w:val="true"/>
      <w:spacing w:before="240" w:after="120"/>
    </w:pPr>
    <w:rPr>
      <w:rFonts w:ascii="Open Sans" w:hAnsi="Open Sans"/>
      <w:sz w:val="28"/>
    </w:rPr>
  </w:style>
  <w:style w:type="paragraph" w:styleId="112">
    <w:name w:val="Заголовок11"/>
    <w:basedOn w:val="Normal"/>
    <w:next w:val="BodyText"/>
    <w:link w:val="1"/>
    <w:qFormat/>
    <w:pPr>
      <w:keepNext w:val="true"/>
      <w:spacing w:before="240" w:after="120"/>
    </w:pPr>
    <w:rPr>
      <w:rFonts w:ascii="Open Sans" w:hAnsi="Open Sans"/>
      <w:sz w:val="28"/>
    </w:rPr>
  </w:style>
  <w:style w:type="paragraph" w:styleId="Contents3211">
    <w:name w:val="Contents 3211"/>
    <w:link w:val="Contents32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Footnote111">
    <w:name w:val="Footnote111"/>
    <w:link w:val="Footnote11"/>
    <w:qFormat/>
    <w:pPr>
      <w:widowControl/>
      <w:suppressAutoHyphens w:val="true"/>
      <w:bidi w:val="0"/>
      <w:spacing w:lineRule="auto" w:line="240" w:before="0" w:after="0"/>
      <w:ind w:firstLine="851" w:left="0" w:right="0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21121111">
    <w:name w:val="Заголовок2112111"/>
    <w:basedOn w:val="Normal"/>
    <w:next w:val="BodyText"/>
    <w:link w:val="211211"/>
    <w:qFormat/>
    <w:pPr>
      <w:keepNext w:val="true"/>
      <w:spacing w:before="240" w:after="120"/>
    </w:pPr>
    <w:rPr>
      <w:rFonts w:ascii="Open Sans" w:hAnsi="Open Sans"/>
      <w:sz w:val="28"/>
    </w:rPr>
  </w:style>
  <w:style w:type="paragraph" w:styleId="Subtitle11111">
    <w:name w:val="Subtitle11111"/>
    <w:link w:val="Subtitle1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Internetlink211">
    <w:name w:val="Internet link211"/>
    <w:basedOn w:val="DefaultParagraphFont11111"/>
    <w:link w:val="Internetlink21"/>
    <w:qFormat/>
    <w:pPr/>
    <w:rPr>
      <w:color w:themeColor="hyperlink" w:val="0563C1"/>
      <w:u w:val="single"/>
    </w:rPr>
  </w:style>
  <w:style w:type="paragraph" w:styleId="Title2111">
    <w:name w:val="Title2111"/>
    <w:link w:val="Title2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Open Sans" w:hAnsi="Open San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Heading313">
    <w:name w:val="Heading 313"/>
    <w:link w:val="Heading3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Caption31111">
    <w:name w:val="caption31111"/>
    <w:basedOn w:val="Normal"/>
    <w:link w:val="Caption3111"/>
    <w:qFormat/>
    <w:pPr>
      <w:spacing w:before="120" w:after="120"/>
    </w:pPr>
    <w:rPr>
      <w:i/>
      <w:sz w:val="24"/>
    </w:rPr>
  </w:style>
  <w:style w:type="paragraph" w:styleId="Caption12111">
    <w:name w:val="Caption12111"/>
    <w:link w:val="Caption12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Contents811111">
    <w:name w:val="Contents 811111"/>
    <w:link w:val="Contents81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List12111">
    <w:name w:val="List12111"/>
    <w:basedOn w:val="Textbody11111"/>
    <w:link w:val="List1211"/>
    <w:qFormat/>
    <w:pPr/>
    <w:rPr/>
  </w:style>
  <w:style w:type="paragraph" w:styleId="Footer121">
    <w:name w:val="Footer121"/>
    <w:link w:val="Footer1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Textbody211">
    <w:name w:val="Text body211"/>
    <w:link w:val="Textbody2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5111111">
    <w:name w:val="Заголовок 5111111"/>
    <w:link w:val="511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Subtitle21">
    <w:name w:val="Subtitle21"/>
    <w:link w:val="Subtitle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111119">
    <w:name w:val="Заголовок таблицы11111"/>
    <w:basedOn w:val="1111118"/>
    <w:link w:val="1111"/>
    <w:qFormat/>
    <w:pPr>
      <w:jc w:val="center"/>
    </w:pPr>
    <w:rPr>
      <w:b/>
    </w:rPr>
  </w:style>
  <w:style w:type="paragraph" w:styleId="Contents2211">
    <w:name w:val="Contents 2211"/>
    <w:link w:val="Contents22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12">
    <w:name w:val="Contents 12"/>
    <w:link w:val="Contents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1111">
    <w:name w:val="Contents 1111"/>
    <w:link w:val="Contents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Internetlink11111">
    <w:name w:val="Internet link11111"/>
    <w:basedOn w:val="DefaultParagraphFont11111"/>
    <w:link w:val="Internetlink1111"/>
    <w:qFormat/>
    <w:pPr/>
    <w:rPr>
      <w:color w:themeColor="hyperlink" w:val="0563C1"/>
      <w:u w:val="single"/>
    </w:rPr>
  </w:style>
  <w:style w:type="paragraph" w:styleId="Contents631">
    <w:name w:val="Contents 631"/>
    <w:link w:val="Contents63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BalloonText11111">
    <w:name w:val="Balloon Text11111"/>
    <w:basedOn w:val="Normal"/>
    <w:link w:val="BalloonText1111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51111">
    <w:name w:val="Колонтитул5111"/>
    <w:link w:val="5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Header121">
    <w:name w:val="Header121"/>
    <w:link w:val="Header1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12121">
    <w:name w:val="Указатель1212"/>
    <w:basedOn w:val="Normal"/>
    <w:link w:val="121"/>
    <w:qFormat/>
    <w:pPr/>
    <w:rPr/>
  </w:style>
  <w:style w:type="paragraph" w:styleId="Heading1121">
    <w:name w:val="Heading 1121"/>
    <w:link w:val="Heading11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121112">
    <w:name w:val="Заголовок121112"/>
    <w:basedOn w:val="Normal"/>
    <w:next w:val="BodyText"/>
    <w:link w:val="12111"/>
    <w:qFormat/>
    <w:pPr>
      <w:keepNext w:val="true"/>
      <w:spacing w:before="240" w:after="120"/>
    </w:pPr>
    <w:rPr>
      <w:rFonts w:ascii="Open Sans" w:hAnsi="Open Sans"/>
      <w:sz w:val="28"/>
    </w:rPr>
  </w:style>
  <w:style w:type="paragraph" w:styleId="PlainText11111">
    <w:name w:val="Plain Text11111"/>
    <w:basedOn w:val="Normal"/>
    <w:link w:val="PlainText1111"/>
    <w:qFormat/>
    <w:pPr>
      <w:spacing w:lineRule="auto" w:line="240" w:before="0" w:after="0"/>
    </w:pPr>
    <w:rPr>
      <w:rFonts w:ascii="Calibri" w:hAnsi="Calibri"/>
    </w:rPr>
  </w:style>
  <w:style w:type="paragraph" w:styleId="List1311">
    <w:name w:val="List1311"/>
    <w:basedOn w:val="Textbody11111"/>
    <w:link w:val="List131"/>
    <w:qFormat/>
    <w:pPr/>
    <w:rPr/>
  </w:style>
  <w:style w:type="paragraph" w:styleId="Heading512111">
    <w:name w:val="Heading 512111"/>
    <w:link w:val="Heading512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2121111">
    <w:name w:val="Указатель212111"/>
    <w:basedOn w:val="Normal"/>
    <w:link w:val="21211"/>
    <w:qFormat/>
    <w:pPr/>
    <w:rPr/>
  </w:style>
  <w:style w:type="paragraph" w:styleId="TOC3">
    <w:name w:val="TOC 3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40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Heading31311">
    <w:name w:val="Heading 31311"/>
    <w:link w:val="Heading313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Contents8111">
    <w:name w:val="Contents 8111"/>
    <w:link w:val="Contents8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111113">
    <w:name w:val="Знак примечания111111"/>
    <w:basedOn w:val="1111116"/>
    <w:link w:val="111111"/>
    <w:qFormat/>
    <w:pPr/>
    <w:rPr>
      <w:sz w:val="16"/>
    </w:rPr>
  </w:style>
  <w:style w:type="paragraph" w:styleId="Caption12">
    <w:name w:val="Caption12"/>
    <w:link w:val="Caption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Title21">
    <w:name w:val="Title21"/>
    <w:link w:val="Title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Open Sans" w:hAnsi="Open San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311">
    <w:name w:val="Contents 311"/>
    <w:link w:val="Contents3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513">
    <w:name w:val="Колонтитул51"/>
    <w:basedOn w:val="Normal"/>
    <w:link w:val="51"/>
    <w:qFormat/>
    <w:pPr/>
    <w:rPr/>
  </w:style>
  <w:style w:type="paragraph" w:styleId="Contents111111">
    <w:name w:val="Contents 111111"/>
    <w:link w:val="Contents11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ubtitle111">
    <w:name w:val="Subtitle111"/>
    <w:link w:val="Subtitle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Header13">
    <w:name w:val="Header13"/>
    <w:link w:val="Header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Endnote11111">
    <w:name w:val="Endnote11111"/>
    <w:link w:val="Endnote1111"/>
    <w:qFormat/>
    <w:pPr>
      <w:widowControl/>
      <w:suppressAutoHyphens w:val="true"/>
      <w:bidi w:val="0"/>
      <w:spacing w:lineRule="auto" w:line="240" w:before="0" w:after="0"/>
      <w:ind w:firstLine="851" w:left="0" w:right="0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6211">
    <w:name w:val="Contents 6211"/>
    <w:link w:val="Contents62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Textbody111">
    <w:name w:val="Text body111"/>
    <w:link w:val="Textbody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22">
    <w:name w:val="Contents 22"/>
    <w:link w:val="Contents2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611111">
    <w:name w:val="Contents 611111"/>
    <w:link w:val="Contents61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231">
    <w:name w:val="Contents 231"/>
    <w:link w:val="Contents23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612">
    <w:name w:val="Содержимое врезки61"/>
    <w:basedOn w:val="Normal"/>
    <w:link w:val="61"/>
    <w:qFormat/>
    <w:pPr/>
    <w:rPr/>
  </w:style>
  <w:style w:type="paragraph" w:styleId="Heading221">
    <w:name w:val="Heading 221"/>
    <w:link w:val="Heading2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11116">
    <w:name w:val="Указатель1111"/>
    <w:basedOn w:val="Normal"/>
    <w:link w:val="111"/>
    <w:qFormat/>
    <w:pPr/>
    <w:rPr/>
  </w:style>
  <w:style w:type="paragraph" w:styleId="1211121">
    <w:name w:val="Указатель121112"/>
    <w:basedOn w:val="Normal"/>
    <w:link w:val="121111"/>
    <w:qFormat/>
    <w:pPr/>
    <w:rPr/>
  </w:style>
  <w:style w:type="paragraph" w:styleId="11111111">
    <w:name w:val="Заголовок 1111111"/>
    <w:link w:val="1111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1111114">
    <w:name w:val="Указатель111111"/>
    <w:link w:val="11111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12111111">
    <w:name w:val="Указатель1211111"/>
    <w:basedOn w:val="Normal"/>
    <w:link w:val="1211111"/>
    <w:qFormat/>
    <w:pPr/>
    <w:rPr/>
  </w:style>
  <w:style w:type="paragraph" w:styleId="Textbody2">
    <w:name w:val="Text body2"/>
    <w:link w:val="Textbody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Internetlink1">
    <w:name w:val="Internet link1"/>
    <w:basedOn w:val="DefaultParagraphFont11111"/>
    <w:link w:val="Internetlink"/>
    <w:qFormat/>
    <w:pPr/>
    <w:rPr>
      <w:color w:themeColor="hyperlink" w:val="0563C1"/>
      <w:u w:val="single"/>
    </w:rPr>
  </w:style>
  <w:style w:type="paragraph" w:styleId="Contents211111">
    <w:name w:val="Contents 211111"/>
    <w:link w:val="Contents21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111115">
    <w:name w:val="Подзаголовок111111"/>
    <w:link w:val="111113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15">
    <w:name w:val="Символ нумерации1"/>
    <w:link w:val="Style10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331">
    <w:name w:val="Contents 331"/>
    <w:link w:val="Contents33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Footnote2111">
    <w:name w:val="Footnote2111"/>
    <w:link w:val="Footnote211"/>
    <w:qFormat/>
    <w:pPr>
      <w:widowControl/>
      <w:suppressAutoHyphens w:val="true"/>
      <w:bidi w:val="0"/>
      <w:spacing w:lineRule="auto" w:line="240" w:before="0" w:after="0"/>
      <w:ind w:firstLine="851" w:left="0" w:right="0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411113">
    <w:name w:val="Содержимое врезки41111"/>
    <w:basedOn w:val="Normal"/>
    <w:link w:val="41111"/>
    <w:qFormat/>
    <w:pPr/>
    <w:rPr/>
  </w:style>
  <w:style w:type="paragraph" w:styleId="Footer">
    <w:name w:val="Footer"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2111112">
    <w:name w:val="Заголовок1211111"/>
    <w:basedOn w:val="Normal"/>
    <w:next w:val="BodyText"/>
    <w:link w:val="1211112"/>
    <w:qFormat/>
    <w:pPr>
      <w:keepNext w:val="true"/>
      <w:spacing w:before="240" w:after="120"/>
    </w:pPr>
    <w:rPr>
      <w:rFonts w:ascii="Open Sans" w:hAnsi="Open Sans"/>
      <w:sz w:val="28"/>
    </w:rPr>
  </w:style>
  <w:style w:type="paragraph" w:styleId="Heading312111">
    <w:name w:val="Heading 312111"/>
    <w:link w:val="Heading312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Caption1111">
    <w:name w:val="Caption1111"/>
    <w:link w:val="Caption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1111110">
    <w:name w:val="Символ нумерации11111"/>
    <w:link w:val="1111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highlight w:val="yellow"/>
      <w:lang w:val="ru-RU" w:eastAsia="zh-CN" w:bidi="hi-IN"/>
    </w:rPr>
  </w:style>
  <w:style w:type="paragraph" w:styleId="Heading211111">
    <w:name w:val="Heading 211111"/>
    <w:link w:val="Heading21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211112">
    <w:name w:val="Колонтитул21111"/>
    <w:basedOn w:val="Normal"/>
    <w:link w:val="2111"/>
    <w:qFormat/>
    <w:pPr/>
    <w:rPr/>
  </w:style>
  <w:style w:type="paragraph" w:styleId="1111116">
    <w:name w:val="Основной шрифт абзаца111111"/>
    <w:link w:val="111114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Internetlink2">
    <w:name w:val="Internet link2"/>
    <w:basedOn w:val="DefaultParagraphFont11111"/>
    <w:qFormat/>
    <w:pPr/>
    <w:rPr>
      <w:color w:themeColor="hyperlink" w:val="0563C1"/>
      <w:u w:val="single"/>
    </w:rPr>
  </w:style>
  <w:style w:type="paragraph" w:styleId="Footnote1">
    <w:name w:val="Footnote1"/>
    <w:link w:val="Footnote"/>
    <w:qFormat/>
    <w:pPr>
      <w:widowControl/>
      <w:suppressAutoHyphens w:val="true"/>
      <w:bidi w:val="0"/>
      <w:spacing w:lineRule="auto" w:line="240" w:before="0" w:after="0"/>
      <w:ind w:firstLine="851" w:left="0" w:right="0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1211">
    <w:name w:val="Contents 1211"/>
    <w:link w:val="Contents12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Annotationsubject11111">
    <w:name w:val="annotation subject11111"/>
    <w:basedOn w:val="Annotationtext11111"/>
    <w:next w:val="Annotationtext11111"/>
    <w:link w:val="Annotationsubject1111"/>
    <w:qFormat/>
    <w:pPr/>
    <w:rPr>
      <w:b/>
    </w:rPr>
  </w:style>
  <w:style w:type="paragraph" w:styleId="TOC1">
    <w:name w:val="TOC 1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21121112">
    <w:name w:val="Указатель2112111"/>
    <w:basedOn w:val="Normal"/>
    <w:link w:val="2112111"/>
    <w:qFormat/>
    <w:pPr/>
    <w:rPr/>
  </w:style>
  <w:style w:type="paragraph" w:styleId="211113">
    <w:name w:val="Содержимое таблицы21111"/>
    <w:basedOn w:val="Normal"/>
    <w:link w:val="21111"/>
    <w:qFormat/>
    <w:pPr>
      <w:widowControl w:val="false"/>
    </w:pPr>
    <w:rPr/>
  </w:style>
  <w:style w:type="paragraph" w:styleId="Contents411111">
    <w:name w:val="Contents 411111"/>
    <w:link w:val="Contents41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62">
    <w:name w:val="Contents 62"/>
    <w:link w:val="Contents6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ubtitle2111">
    <w:name w:val="Subtitle2111"/>
    <w:link w:val="Subtitle2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Contents511111">
    <w:name w:val="Contents 511111"/>
    <w:link w:val="Contents51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21121">
    <w:name w:val="Заголовок12112"/>
    <w:basedOn w:val="Normal"/>
    <w:next w:val="BodyText"/>
    <w:link w:val="1211"/>
    <w:qFormat/>
    <w:pPr>
      <w:keepNext w:val="true"/>
      <w:spacing w:before="240" w:after="120"/>
    </w:pPr>
    <w:rPr>
      <w:rFonts w:ascii="Open Sans" w:hAnsi="Open Sans"/>
      <w:sz w:val="28"/>
    </w:rPr>
  </w:style>
  <w:style w:type="paragraph" w:styleId="Contents5211">
    <w:name w:val="Contents 5211"/>
    <w:link w:val="Contents52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Title11111">
    <w:name w:val="Title11111"/>
    <w:link w:val="Title1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Open Sans" w:hAnsi="Open San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List121">
    <w:name w:val="List121"/>
    <w:basedOn w:val="Textbody11111"/>
    <w:link w:val="List12"/>
    <w:qFormat/>
    <w:pPr/>
    <w:rPr/>
  </w:style>
  <w:style w:type="paragraph" w:styleId="Contents9111">
    <w:name w:val="Contents 9111"/>
    <w:link w:val="Contents9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2121112">
    <w:name w:val="Заголовок212111"/>
    <w:basedOn w:val="Normal"/>
    <w:next w:val="BodyText"/>
    <w:link w:val="212111"/>
    <w:qFormat/>
    <w:pPr>
      <w:keepNext w:val="true"/>
      <w:spacing w:before="240" w:after="120"/>
    </w:pPr>
    <w:rPr>
      <w:rFonts w:ascii="Open Sans" w:hAnsi="Open Sans"/>
      <w:sz w:val="28"/>
    </w:rPr>
  </w:style>
  <w:style w:type="paragraph" w:styleId="113">
    <w:name w:val="Содержимое врезки11"/>
    <w:basedOn w:val="Normal"/>
    <w:link w:val="11"/>
    <w:qFormat/>
    <w:pPr/>
    <w:rPr/>
  </w:style>
  <w:style w:type="paragraph" w:styleId="Contents511">
    <w:name w:val="Contents 511"/>
    <w:link w:val="Contents5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aption211">
    <w:name w:val="Caption211"/>
    <w:link w:val="Caption2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12122">
    <w:name w:val="Заголовок1212"/>
    <w:basedOn w:val="Normal"/>
    <w:next w:val="BodyText"/>
    <w:link w:val="1212"/>
    <w:qFormat/>
    <w:pPr>
      <w:keepNext w:val="true"/>
      <w:spacing w:before="240" w:after="120"/>
    </w:pPr>
    <w:rPr>
      <w:rFonts w:ascii="Open Sans" w:hAnsi="Open Sans"/>
      <w:sz w:val="28"/>
    </w:rPr>
  </w:style>
  <w:style w:type="paragraph" w:styleId="TOC9">
    <w:name w:val="TOC 9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160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Internetlink111">
    <w:name w:val="Internet link111"/>
    <w:basedOn w:val="DefaultParagraphFont11111"/>
    <w:link w:val="Internetlink11"/>
    <w:qFormat/>
    <w:pPr/>
    <w:rPr>
      <w:color w:themeColor="hyperlink" w:val="0563C1"/>
      <w:u w:val="single"/>
    </w:rPr>
  </w:style>
  <w:style w:type="paragraph" w:styleId="Heading113">
    <w:name w:val="Heading 113"/>
    <w:link w:val="Heading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51112">
    <w:name w:val="Содержимое врезки5111"/>
    <w:basedOn w:val="Normal"/>
    <w:link w:val="5111"/>
    <w:qFormat/>
    <w:pPr/>
    <w:rPr/>
  </w:style>
  <w:style w:type="paragraph" w:styleId="Docdata11111">
    <w:name w:val="docdata11111"/>
    <w:basedOn w:val="1111116"/>
    <w:link w:val="Docdata1111"/>
    <w:qFormat/>
    <w:pPr/>
    <w:rPr/>
  </w:style>
  <w:style w:type="paragraph" w:styleId="Title111">
    <w:name w:val="Title111"/>
    <w:link w:val="Title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Open Sans" w:hAnsi="Open San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1117">
    <w:name w:val="Заголовок1111"/>
    <w:basedOn w:val="Normal"/>
    <w:next w:val="BodyText"/>
    <w:link w:val="1112"/>
    <w:qFormat/>
    <w:pPr>
      <w:keepNext w:val="true"/>
      <w:spacing w:before="240" w:after="120"/>
    </w:pPr>
    <w:rPr>
      <w:rFonts w:ascii="Open Sans" w:hAnsi="Open Sans"/>
      <w:sz w:val="28"/>
    </w:rPr>
  </w:style>
  <w:style w:type="paragraph" w:styleId="Contents4211">
    <w:name w:val="Contents 4211"/>
    <w:link w:val="Contents42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211114">
    <w:name w:val="Содержимое врезки21111"/>
    <w:basedOn w:val="Normal"/>
    <w:link w:val="21112"/>
    <w:qFormat/>
    <w:pPr/>
    <w:rPr/>
  </w:style>
  <w:style w:type="paragraph" w:styleId="Heading3121">
    <w:name w:val="Heading 3121"/>
    <w:link w:val="Heading31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Header11111">
    <w:name w:val="Header11111"/>
    <w:link w:val="Header1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221112">
    <w:name w:val="Указатель22111"/>
    <w:basedOn w:val="Normal"/>
    <w:link w:val="22111"/>
    <w:qFormat/>
    <w:pPr/>
    <w:rPr/>
  </w:style>
  <w:style w:type="paragraph" w:styleId="Annotationtext11111">
    <w:name w:val="annotation text11111"/>
    <w:basedOn w:val="Normal"/>
    <w:link w:val="Annotationtext1111"/>
    <w:qFormat/>
    <w:pPr>
      <w:spacing w:lineRule="auto" w:line="240"/>
    </w:pPr>
    <w:rPr>
      <w:sz w:val="20"/>
    </w:rPr>
  </w:style>
  <w:style w:type="paragraph" w:styleId="TOC8">
    <w:name w:val="TOC 8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140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Textbody11111">
    <w:name w:val="Text body11111"/>
    <w:link w:val="Textbody1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Heading5121">
    <w:name w:val="Heading 5121"/>
    <w:link w:val="Heading51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1111117">
    <w:name w:val="Колонтитул11111"/>
    <w:link w:val="11113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211111111">
    <w:name w:val="Указатель21111111"/>
    <w:basedOn w:val="Normal"/>
    <w:link w:val="2111111"/>
    <w:qFormat/>
    <w:pPr/>
    <w:rPr/>
  </w:style>
  <w:style w:type="paragraph" w:styleId="Contents911111">
    <w:name w:val="Contents 911111"/>
    <w:link w:val="Contents91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711111">
    <w:name w:val="Contents 711111"/>
    <w:link w:val="Contents71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111118">
    <w:name w:val="Содержимое таблицы11111"/>
    <w:basedOn w:val="Normal"/>
    <w:link w:val="11114"/>
    <w:qFormat/>
    <w:pPr>
      <w:widowControl w:val="false"/>
    </w:pPr>
    <w:rPr/>
  </w:style>
  <w:style w:type="paragraph" w:styleId="Header2111">
    <w:name w:val="Header2111"/>
    <w:link w:val="Header2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211115">
    <w:name w:val="Заголовок таблицы21111"/>
    <w:basedOn w:val="211113"/>
    <w:link w:val="21113"/>
    <w:qFormat/>
    <w:pPr>
      <w:jc w:val="center"/>
    </w:pPr>
    <w:rPr>
      <w:b/>
    </w:rPr>
  </w:style>
  <w:style w:type="paragraph" w:styleId="114">
    <w:name w:val="Указатель11"/>
    <w:basedOn w:val="Normal"/>
    <w:link w:val="12"/>
    <w:qFormat/>
    <w:pPr/>
    <w:rPr/>
  </w:style>
  <w:style w:type="paragraph" w:styleId="21111112">
    <w:name w:val="Заголовок 2111111"/>
    <w:link w:val="211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Heading513">
    <w:name w:val="Heading 513"/>
    <w:link w:val="Heading5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115">
    <w:name w:val="Колонтитул11"/>
    <w:link w:val="13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TOC5">
    <w:name w:val="TOC 5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80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Heading111111">
    <w:name w:val="Heading 111111"/>
    <w:link w:val="Heading11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List13">
    <w:name w:val="List13"/>
    <w:basedOn w:val="Textbody11111"/>
    <w:link w:val="List11"/>
    <w:qFormat/>
    <w:pPr/>
    <w:rPr/>
  </w:style>
  <w:style w:type="paragraph" w:styleId="Contents72">
    <w:name w:val="Contents 72"/>
    <w:link w:val="Contents7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311113">
    <w:name w:val="Содержимое врезки31111"/>
    <w:basedOn w:val="Normal"/>
    <w:link w:val="31111"/>
    <w:qFormat/>
    <w:pPr/>
    <w:rPr/>
  </w:style>
  <w:style w:type="paragraph" w:styleId="Contents531">
    <w:name w:val="Contents 531"/>
    <w:link w:val="Contents53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ListParagraph11111">
    <w:name w:val="List Paragraph11111"/>
    <w:basedOn w:val="Normal"/>
    <w:link w:val="ListParagraph1111"/>
    <w:qFormat/>
    <w:pPr>
      <w:spacing w:before="0" w:after="160"/>
      <w:ind w:hanging="0" w:left="720" w:right="0"/>
      <w:contextualSpacing/>
    </w:pPr>
    <w:rPr/>
  </w:style>
  <w:style w:type="paragraph" w:styleId="Contents311111">
    <w:name w:val="Contents 311111"/>
    <w:link w:val="Contents31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8211">
    <w:name w:val="Contents 8211"/>
    <w:link w:val="Contents82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82">
    <w:name w:val="Contents 82"/>
    <w:link w:val="Contents8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6">
    <w:name w:val="Заголовок таблицы1"/>
    <w:basedOn w:val="14"/>
    <w:link w:val="Style11"/>
    <w:qFormat/>
    <w:pPr>
      <w:jc w:val="center"/>
    </w:pPr>
    <w:rPr>
      <w:b/>
    </w:rPr>
  </w:style>
  <w:style w:type="paragraph" w:styleId="411">
    <w:name w:val="Содержимое врезки41"/>
    <w:basedOn w:val="Normal"/>
    <w:link w:val="4"/>
    <w:qFormat/>
    <w:pPr/>
    <w:rPr/>
  </w:style>
  <w:style w:type="paragraph" w:styleId="Footnote21">
    <w:name w:val="Footnote21"/>
    <w:link w:val="Footnote2"/>
    <w:qFormat/>
    <w:pPr>
      <w:widowControl/>
      <w:suppressAutoHyphens w:val="true"/>
      <w:bidi w:val="0"/>
      <w:spacing w:lineRule="auto" w:line="240" w:before="0" w:after="0"/>
      <w:ind w:firstLine="851" w:left="0" w:right="0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111119">
    <w:name w:val="Название объекта111111"/>
    <w:link w:val="111115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ubtitle">
    <w:name w:val="Subtitle"/>
    <w:next w:val="Normal"/>
    <w:uiPriority w:val="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11111110">
    <w:name w:val="Список111111"/>
    <w:basedOn w:val="Textbody11111"/>
    <w:link w:val="111116"/>
    <w:qFormat/>
    <w:pPr/>
    <w:rPr/>
  </w:style>
  <w:style w:type="paragraph" w:styleId="211">
    <w:name w:val="Колонтитул21"/>
    <w:basedOn w:val="Normal"/>
    <w:link w:val="2"/>
    <w:qFormat/>
    <w:pPr/>
    <w:rPr/>
  </w:style>
  <w:style w:type="paragraph" w:styleId="121122">
    <w:name w:val="Указатель12112"/>
    <w:basedOn w:val="Normal"/>
    <w:link w:val="12112"/>
    <w:qFormat/>
    <w:pPr/>
    <w:rPr/>
  </w:style>
  <w:style w:type="paragraph" w:styleId="1221">
    <w:name w:val="Заголовок122"/>
    <w:basedOn w:val="Normal"/>
    <w:next w:val="BodyText"/>
    <w:link w:val="122"/>
    <w:qFormat/>
    <w:pPr>
      <w:keepNext w:val="true"/>
      <w:spacing w:before="240" w:after="120"/>
    </w:pPr>
    <w:rPr>
      <w:rFonts w:ascii="Open Sans" w:hAnsi="Open Sans"/>
      <w:sz w:val="28"/>
    </w:rPr>
  </w:style>
  <w:style w:type="paragraph" w:styleId="1111120">
    <w:name w:val="Содержимое врезки11111"/>
    <w:basedOn w:val="Normal"/>
    <w:link w:val="11115"/>
    <w:qFormat/>
    <w:pPr/>
    <w:rPr/>
  </w:style>
  <w:style w:type="paragraph" w:styleId="Title">
    <w:name w:val="Title"/>
    <w:next w:val="BodyText"/>
    <w:uiPriority w:val="10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Open Sans" w:hAnsi="Open San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1111112">
    <w:name w:val="Верхний колонтитул111111"/>
    <w:link w:val="111117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Heading4111">
    <w:name w:val="Heading 4111"/>
    <w:link w:val="Heading4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312">
    <w:name w:val="Содержимое врезки31"/>
    <w:basedOn w:val="Normal"/>
    <w:link w:val="31"/>
    <w:qFormat/>
    <w:pPr/>
    <w:rPr/>
  </w:style>
  <w:style w:type="paragraph" w:styleId="Contents731">
    <w:name w:val="Contents 731"/>
    <w:link w:val="Contents73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412">
    <w:name w:val="Колонтитул41"/>
    <w:basedOn w:val="Normal"/>
    <w:link w:val="41"/>
    <w:qFormat/>
    <w:pPr/>
    <w:rPr/>
  </w:style>
  <w:style w:type="paragraph" w:styleId="Contents7211">
    <w:name w:val="Contents 7211"/>
    <w:link w:val="Contents72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1111113">
    <w:name w:val="Заголовок111111"/>
    <w:link w:val="111118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Open Sans" w:hAnsi="Open San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Heading12111">
    <w:name w:val="Heading 12111"/>
    <w:link w:val="Heading12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Contents92">
    <w:name w:val="Contents 92"/>
    <w:link w:val="Contents9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3111111">
    <w:name w:val="Заголовок 3111111"/>
    <w:link w:val="311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1222">
    <w:name w:val="Указатель122"/>
    <w:basedOn w:val="Normal"/>
    <w:link w:val="123"/>
    <w:qFormat/>
    <w:pPr/>
    <w:rPr/>
  </w:style>
  <w:style w:type="paragraph" w:styleId="212">
    <w:name w:val="Содержимое врезки21"/>
    <w:basedOn w:val="Normal"/>
    <w:link w:val="21"/>
    <w:qFormat/>
    <w:pPr/>
    <w:rPr/>
  </w:style>
  <w:style w:type="paragraph" w:styleId="211111112">
    <w:name w:val="Заголовок21111111"/>
    <w:basedOn w:val="Normal"/>
    <w:next w:val="BodyText"/>
    <w:link w:val="21111111"/>
    <w:qFormat/>
    <w:pPr>
      <w:keepNext w:val="true"/>
      <w:spacing w:before="240" w:after="120"/>
    </w:pPr>
    <w:rPr>
      <w:rFonts w:ascii="Open Sans" w:hAnsi="Open Sans"/>
      <w:sz w:val="28"/>
    </w:rPr>
  </w:style>
  <w:style w:type="paragraph" w:styleId="Style15">
    <w:name w:val="Содержимое врезки"/>
    <w:basedOn w:val="Normal"/>
    <w:qFormat/>
    <w:pPr/>
    <w:rPr/>
  </w:style>
  <w:style w:type="table" w:styleId="Style_196">
    <w:name w:val="Table Grid"/>
    <w:basedOn w:val="Style_4"/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  <w:tblCellMar>
        <w:left w:w="0" w:type="dxa"/>
        <w:right w:w="0" w:type="dxa"/>
      </w:tblCellMar>
    </w:tblPr>
  </w:style>
  <w:style w:type="table" w:default="1" w:styleId="Style_4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tileRect l="0" t="0" r="0" b="0"/>
        </a:gradFill>
      </a:fillStyleLst>
      <a:lnStyleLst>
        <a:ln w="6350">
          <a:prstDash val="solid"/>
        </a:ln>
        <a:ln w="12700">
          <a:prstDash val="solid"/>
        </a:ln>
        <a:ln w="19050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Application>LibreOffice/7.6.0.3$Linux_X86_64 LibreOffice_project/60$Build-3</Application>
  <AppVersion>15.0000</AppVersion>
  <Pages>9</Pages>
  <Words>2530</Words>
  <Characters>16104</Characters>
  <CharactersWithSpaces>18273</CharactersWithSpaces>
  <Paragraphs>401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2024-04-03T14:39:07Z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