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317" y="0"/>
                <wp:lineTo x="-317" y="20636"/>
                <wp:lineTo x="20650" y="20636"/>
                <wp:lineTo x="20650" y="0"/>
                <wp:lineTo x="-317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76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af4"/>
        <w:tblW w:w="9808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808"/>
      </w:tblGrid>
      <w:tr>
        <w:trPr/>
        <w:tc>
          <w:tcPr>
            <w:tcW w:w="98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/>
              </w:rPr>
            </w:pPr>
            <w:r>
              <w:rPr>
                <w:rFonts w:eastAsia="Tahoma" w:cs="Lohit Devanagari" w:ascii="Times New Roman" w:hAnsi="Times New Roman"/>
                <w:b/>
                <w:color w:val="000000"/>
                <w:kern w:val="0"/>
                <w:sz w:val="28"/>
                <w:szCs w:val="20"/>
                <w:lang w:val="ru-RU" w:eastAsia="zh-CN" w:bidi="hi-IN"/>
              </w:rPr>
              <w:t>О внесении изменений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277-П, изменения согласно приложению к настоящему постановлению.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W w:w="9636" w:type="dxa"/>
        <w:jc w:val="left"/>
        <w:tblInd w:w="-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573"/>
        <w:gridCol w:w="3548"/>
        <w:gridCol w:w="2515"/>
      </w:tblGrid>
      <w:tr>
        <w:trPr>
          <w:trHeight w:val="2220" w:hRule="atLeast"/>
        </w:trPr>
        <w:tc>
          <w:tcPr>
            <w:tcW w:w="35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hanging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3548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1"/>
          </w:p>
          <w:p>
            <w:pPr>
              <w:pStyle w:val="Normal"/>
              <w:widowControl w:val="false"/>
              <w:spacing w:lineRule="auto" w:line="240" w:before="0" w:after="0"/>
              <w:ind w:hanging="142" w:left="14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2515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0"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Е.А. Чекин</w:t>
            </w:r>
          </w:p>
        </w:tc>
      </w:tr>
    </w:tbl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r>
        <w:rPr/>
      </w:r>
      <w:r>
        <w:br w:type="page"/>
      </w:r>
    </w:p>
    <w:tbl>
      <w:tblPr>
        <w:tblStyle w:val="af4"/>
        <w:tblW w:w="963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6"/>
        <w:gridCol w:w="477"/>
        <w:gridCol w:w="485"/>
        <w:gridCol w:w="3674"/>
        <w:gridCol w:w="631"/>
        <w:gridCol w:w="1733"/>
        <w:gridCol w:w="487"/>
        <w:gridCol w:w="1671"/>
      </w:tblGrid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pageBreakBefore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Приложение к постановлению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5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8079" w:left="8079"/>
              <w:jc w:val="lef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Правительства Камчатского края</w:t>
            </w:r>
          </w:p>
        </w:tc>
      </w:tr>
      <w:tr>
        <w:trPr/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left"/>
              <w:rPr>
                <w:rFonts w:ascii="Calibri" w:hAnsi="Calibri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от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Calibri" w:hAnsi="Calibri"/>
                <w:color w:themeColor="background1" w:val="FFFFFF"/>
              </w:rPr>
            </w:pPr>
            <w:r>
              <w:rPr>
                <w:rFonts w:eastAsia="Tahoma" w:cs="Lohit Devanagari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zh-CN" w:bidi="hi-IN"/>
              </w:rPr>
              <w:t>[R</w:t>
            </w:r>
            <w:r>
              <w:rPr>
                <w:rFonts w:eastAsia="Tahoma" w:cs="Lohit Devanagari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zh-CN" w:bidi="hi-IN"/>
              </w:rPr>
              <w:t>EGDATESTAMP]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eastAsia="Tahoma" w:cs="Lohit Devanagari" w:ascii="Times New Roman" w:hAnsi="Times New Roman"/>
                <w:color w:themeColor="background1" w:val="FFFFFF"/>
                <w:kern w:val="0"/>
                <w:sz w:val="28"/>
                <w:szCs w:val="20"/>
                <w:lang w:val="ru-RU" w:eastAsia="zh-CN" w:bidi="hi-IN"/>
              </w:rPr>
              <w:t>[R</w:t>
            </w:r>
            <w:r>
              <w:rPr>
                <w:rFonts w:eastAsia="Tahoma" w:cs="Lohit Devanagari" w:ascii="Times New Roman" w:hAnsi="Times New Roman"/>
                <w:color w:themeColor="background1" w:val="FFFFFF"/>
                <w:kern w:val="0"/>
                <w:sz w:val="16"/>
                <w:szCs w:val="20"/>
                <w:lang w:val="ru-RU" w:eastAsia="zh-CN" w:bidi="hi-IN"/>
              </w:rPr>
              <w:t>EGNUMSTAMP]</w:t>
            </w:r>
          </w:p>
        </w:tc>
      </w:tr>
    </w:tbl>
    <w:p>
      <w:pPr>
        <w:pStyle w:val="Normal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sz w:val="28"/>
        </w:rPr>
      </w:pPr>
      <w:r>
        <w:rPr>
          <w:rFonts w:ascii="Times New Roman" w:hAnsi="Times New Roman"/>
          <w:sz w:val="28"/>
        </w:rPr>
        <w:t>Изменения</w:t>
      </w:r>
    </w:p>
    <w:p>
      <w:pPr>
        <w:pStyle w:val="Normal"/>
        <w:spacing w:lineRule="auto" w:line="240" w:before="0" w:after="0"/>
        <w:jc w:val="center"/>
        <w:rPr>
          <w:sz w:val="28"/>
        </w:rPr>
      </w:pPr>
      <w:r>
        <w:rPr>
          <w:rFonts w:ascii="Times New Roman" w:hAnsi="Times New Roman"/>
          <w:sz w:val="28"/>
        </w:rPr>
        <w:t xml:space="preserve">в государственную программу Камчатского края «Развитие экономики и внешнеэкономической деятельности Камчатского края», утвержденную постановлением Правительства Камчатского края от 01.07.2021 № 277-П </w:t>
      </w:r>
    </w:p>
    <w:p>
      <w:pPr>
        <w:pStyle w:val="Normal"/>
        <w:spacing w:lineRule="auto" w:line="240" w:before="0" w:after="0"/>
        <w:jc w:val="center"/>
        <w:rPr>
          <w:sz w:val="28"/>
        </w:rPr>
      </w:pPr>
      <w:r>
        <w:rPr>
          <w:rFonts w:ascii="Times New Roman" w:hAnsi="Times New Roman"/>
          <w:sz w:val="28"/>
        </w:rPr>
        <w:t>(далее – Программа)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ab/>
        <w:t>1. В паспорте Программы позицию «Объемы бюджетных ассигнований Программы»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3317"/>
        <w:gridCol w:w="6319"/>
      </w:tblGrid>
      <w:tr>
        <w:trPr/>
        <w:tc>
          <w:tcPr>
            <w:tcW w:w="3317" w:type="dxa"/>
            <w:tcBorders/>
          </w:tcPr>
          <w:p>
            <w:pPr>
              <w:pStyle w:val="ConsPlusNormal1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Программы</w:t>
            </w:r>
          </w:p>
        </w:tc>
        <w:tc>
          <w:tcPr>
            <w:tcW w:w="6319" w:type="dxa"/>
            <w:tcBorders/>
          </w:tcPr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общий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объем финансирования Программы составляет 29 509 333,12958 тыс. рублей, в том числе за счет средств: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федерального бюджета (по согласованию) – 641 371,40000 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285 886,70000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159 160,40000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125 425,50000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70 802,30000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96,50000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2026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краевого бюджета – 12 286 626,23847 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5 832 125,60758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3 958 661,51983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924 890,57211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785 231,03455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785 717,50440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</w:rPr>
              <w:t>2026 год – 0,00000 тыс. рубле</w:t>
            </w:r>
            <w:r>
              <w:rPr>
                <w:rFonts w:ascii="Times New Roman" w:hAnsi="Times New Roman"/>
                <w:sz w:val="28"/>
              </w:rPr>
              <w:t>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местных бюджетов (по согласованию) – 25 000,00000 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2021 год – 25 000,00000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2022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внебюджетных источников (по согласованию) – 1 347 550,00000 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2021 год – 400 000,00000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2022 год – 375 550,00000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2023 год – 299 100,00000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2024 год – 269 100,00000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2025 год – 3 800,00000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2026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безвозмездных поступлений от негосударственных организаций (по согласованию) – 15 208 785,49111 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2021 год – 10 348 952,80795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2022 год – 4 859 832,68316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2023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2024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2025 год – 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/>
            </w:pPr>
            <w:r>
              <w:rPr>
                <w:rFonts w:ascii="Times New Roman" w:hAnsi="Times New Roman"/>
                <w:sz w:val="28"/>
              </w:rPr>
              <w:t>2026 год – 0,00000 тыс. рублей».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Tahoma" w:cs="Lohit Devanagari" w:ascii="Times New Roman" w:hAnsi="Times New Roman"/>
          <w:color w:val="000000"/>
          <w:kern w:val="0"/>
          <w:sz w:val="28"/>
          <w:szCs w:val="20"/>
          <w:lang w:val="ru-RU" w:eastAsia="zh-CN" w:bidi="hi-IN"/>
        </w:rPr>
        <w:tab/>
        <w:t>2. В паспорте подпрограммы 1</w:t>
      </w:r>
      <w:r>
        <w:rPr>
          <w:rFonts w:ascii="Times New Roman" w:hAnsi="Times New Roman"/>
          <w:sz w:val="28"/>
        </w:rPr>
        <w:t xml:space="preserve"> «Формирование благоприятной инвестиционной среды» позицию «Объемы бюджетных ассигнований Подпрограммы 1»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85"/>
        <w:gridCol w:w="6351"/>
      </w:tblGrid>
      <w:tr>
        <w:trPr>
          <w:trHeight w:val="2775" w:hRule="atLeast"/>
        </w:trPr>
        <w:tc>
          <w:tcPr>
            <w:tcW w:w="3285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>«Объемы бюджетных ассигнований Подпрограммы 1</w:t>
            </w:r>
          </w:p>
        </w:tc>
        <w:tc>
          <w:tcPr>
            <w:tcW w:w="6351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>общий объем финансирования Подпрограммы 1 за счет средств краевого бюджета составляет 296 880,86700 тыс. рублей, в том числе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lang w:val="ru-RU" w:bidi="hi-IN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 228 419,95207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lang w:val="ru-RU" w:bidi="hi-IN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 15 000,00000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lang w:val="ru-RU" w:bidi="hi-IN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 24 960,91493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lang w:val="ru-RU" w:bidi="hi-IN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 14 250,00000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lang w:val="ru-RU" w:bidi="hi-IN"/>
              </w:rPr>
              <w:t>–</w:t>
            </w:r>
            <w:r>
              <w:rPr>
                <w:rFonts w:ascii="Times New Roman" w:hAnsi="Times New Roman"/>
                <w:color w:val="000000"/>
                <w:kern w:val="0"/>
                <w:sz w:val="28"/>
                <w:lang w:val="ru-RU" w:bidi="hi-IN"/>
              </w:rPr>
              <w:t xml:space="preserve"> 14 250,00000 тыс. рублей».</w:t>
            </w:r>
          </w:p>
        </w:tc>
      </w:tr>
    </w:tbl>
    <w:p>
      <w:pPr>
        <w:pStyle w:val="Normal"/>
        <w:spacing w:lineRule="auto" w:line="240" w:before="0" w:after="5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3. В паспорте подпрограммы 2 «Развитие субъектов малого и среднего предпринимательства» позицию «Объемы бюджетных ассигнований Подпрограммы 2» изложить в следующей редакции: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3225"/>
        <w:gridCol w:w="6411"/>
      </w:tblGrid>
      <w:tr>
        <w:trPr>
          <w:trHeight w:val="5040" w:hRule="atLeast"/>
        </w:trPr>
        <w:tc>
          <w:tcPr>
            <w:tcW w:w="322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«Объемы бюджетных ассигнований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Подпрограммы 2</w:t>
            </w:r>
          </w:p>
        </w:tc>
        <w:tc>
          <w:tcPr>
            <w:tcW w:w="6411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общий объем финансирования Подпрограммы 2 составляет 2 910 353,24579 тыс. рублей, в том числе за счет средств: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федерального бюджета (по согласованию)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530 900,65898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 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2021 год –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266 284,20000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2022 год – 124 575,80000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2023 год – 96 068,70000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2024 год – 55 881,70000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2025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краевого бюджета – 984 849,44579 тыс. рублей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2021 год – 223 118,70222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2022 год – 386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559,06843 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2023 год –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 125 588,55898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2024 год – 125 321,65416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2025 год – 124 261,46200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местных бюджетов (по согласованию) – 25 000,00000 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2021 год – 25 000,00000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2022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2023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2024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2025 год – 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внебюджетных источников (по согласованию) – 1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347 550,00000 тыс. рублей, из них по годам: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2021 год – 400 000,00000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2022 год – 375 550,00000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2023 год – 299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2024 год – 269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en-US"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100,00000 тыс. рублей;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2025 год – 3 800,00000 тыс. рублей».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</w:rPr>
        <w:tab/>
        <w:t>4. В паспорте подпрограммы 3 «Развитие промышленности, внешнеэкономической деятельности, конкуренции» позицию «Объемы бюджетных ассигнований Подпрограммы 3»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20"/>
        <w:gridCol w:w="6516"/>
      </w:tblGrid>
      <w:tr>
        <w:trPr/>
        <w:tc>
          <w:tcPr>
            <w:tcW w:w="3120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«Объемы бюджетных ассигнований Подпрограммы 3</w:t>
            </w:r>
          </w:p>
        </w:tc>
        <w:tc>
          <w:tcPr>
            <w:tcW w:w="6516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общий объем финансирования Подпрограммы 3 составляет 116 161,88763 тыс.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федерального бюджета (по согласованию) –31 839,20000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2021 год – 102,50000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2022 год – 22 567,10000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2023 год – 8 974,90000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2024 год – 98,20000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2025 год – 96,50000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2026 год –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краевого бюджета – 84 322,68763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2021 год – 29 418,60596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2022 год – 28 646,42727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2023 год – 7 117,77840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2024 год – 9 569,08800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2025 год – 9 570,78800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imes New Roman" w:cs="Times New Roman"/>
                <w:color w:val="000000"/>
                <w:kern w:val="0"/>
                <w:sz w:val="28"/>
                <w:szCs w:val="28"/>
                <w:lang w:eastAsia="ru-RU" w:bidi="hi-I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8"/>
                <w:lang w:eastAsia="ru-RU" w:bidi="hi-IN"/>
              </w:rPr>
              <w:t>2026 год – 0,00000 тыс. рублей».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C9211E"/>
          <w:sz w:val="28"/>
        </w:rPr>
        <w:tab/>
      </w:r>
      <w:r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sz w:val="28"/>
        </w:rPr>
        <w:t>. В паспорте подпрограммы 5 «Снижение административных барьеров, повышение качества предоставления и доступности государственных услуг в Камчатском крае» позицию «Объемы бюджетных ассигнований Подпрограммы 5»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997"/>
        <w:gridCol w:w="6639"/>
      </w:tblGrid>
      <w:tr>
        <w:trPr/>
        <w:tc>
          <w:tcPr>
            <w:tcW w:w="2997" w:type="dxa"/>
            <w:tcBorders/>
          </w:tcPr>
          <w:p>
            <w:pPr>
              <w:pStyle w:val="ConsPlusNormal1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sz w:val="28"/>
              </w:rPr>
              <w:t>«Объемы бюджетных ассигнований Подпрограммы 5</w:t>
            </w:r>
          </w:p>
        </w:tc>
        <w:tc>
          <w:tcPr>
            <w:tcW w:w="6639" w:type="dxa"/>
            <w:tcBorders/>
          </w:tcPr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общий объем финансирования Подпрограммы 5 за счет средств краевого бюджета составляет 2 042 197,54571 тыс. рублей, в том числе по годам:</w:t>
            </w:r>
          </w:p>
          <w:p>
            <w:pPr>
              <w:pStyle w:val="ConsPlusNormal1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2021 год – 370 316,68584 тыс. рублей;</w:t>
            </w:r>
          </w:p>
          <w:p>
            <w:pPr>
              <w:pStyle w:val="ConsPlusNormal1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2022 год – 391 986,46239 тыс. рублей;</w:t>
            </w:r>
          </w:p>
          <w:p>
            <w:pPr>
              <w:pStyle w:val="ConsPlusNormal1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418 228,13308 тыс. рублей;</w:t>
            </w:r>
          </w:p>
          <w:p>
            <w:pPr>
              <w:pStyle w:val="ConsPlusNormal1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430 057,17000 тыс. рублей;</w:t>
            </w:r>
          </w:p>
          <w:p>
            <w:pPr>
              <w:pStyle w:val="ConsPlusNormal1"/>
              <w:widowControl w:val="false"/>
              <w:spacing w:lineRule="auto" w:line="24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431 609,09440 тыс. рублей».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В паспорте подпрограммы 6 «Обеспечение реализации Программы» позицию «Объемы бюджетных ассигнований Подпрограммы 6»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8"/>
        <w:gridCol w:w="6628"/>
      </w:tblGrid>
      <w:tr>
        <w:trPr/>
        <w:tc>
          <w:tcPr>
            <w:tcW w:w="300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rPr>
                <w:rFonts w:ascii="Times New Roman" w:hAnsi="Times New Roman" w:eastAsia="Tahoma" w:cs="Lohit Devanagari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kern w:val="0"/>
                <w:sz w:val="28"/>
                <w:szCs w:val="20"/>
                <w:lang w:val="ru-RU" w:eastAsia="zh-CN" w:bidi="hi-IN"/>
              </w:rPr>
              <w:t>«Объемы бюджетных ассигнований Подпрограммы 6</w:t>
            </w:r>
          </w:p>
        </w:tc>
        <w:tc>
          <w:tcPr>
            <w:tcW w:w="662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общий объем финансирования Подпрограммы 6 за счет средств краевого бюджета составляет 710 901,62228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119 501,67742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110 618,98815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160 023,39432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160 382,26239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160 375,30000 тыс. рублей».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color w:val="C9211E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В паспорте подпрограммы 7 «Повышение производительности труда в Камчатском крае» позицию «Объемы бюджетных ассигнований Подпрограммы 7»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008"/>
        <w:gridCol w:w="6628"/>
      </w:tblGrid>
      <w:tr>
        <w:trPr/>
        <w:tc>
          <w:tcPr>
            <w:tcW w:w="300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«Объемы бюджетных ассигнований Подпрограммы 7</w:t>
            </w:r>
          </w:p>
        </w:tc>
        <w:tc>
          <w:tcPr>
            <w:tcW w:w="6628" w:type="dxa"/>
            <w:tcBorders/>
          </w:tcPr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общий объем финансирования Подпрограммы 7 составляет 102 799,60347 тыс. рублей, в том числе за счет средств: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федерального бюджета (по согласованию)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56 578,40000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19 500,00000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12 017,50000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10 238,50000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14 822,40000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0,00000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краевого бюджета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46 221,20347 тыс. рублей, из них по годам: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2021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814,40900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2022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8 676,71447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2023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12 243,36000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2024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12 243,36000 тыс. рублей;</w:t>
            </w:r>
          </w:p>
          <w:p>
            <w:pPr>
              <w:pStyle w:val="Normal"/>
              <w:widowControl w:val="false"/>
              <w:tabs>
                <w:tab w:val="clear" w:pos="708"/>
              </w:tabs>
              <w:spacing w:lineRule="auto" w:line="240" w:before="0" w:after="159"/>
              <w:ind w:hanging="0" w:left="0" w:right="0"/>
              <w:contextualSpacing/>
              <w:jc w:val="both"/>
              <w:rPr>
                <w:rFonts w:ascii="Times New Roman" w:hAnsi="Times New Roman" w:eastAsia="Tahoma" w:cs="Lohit Devanagari"/>
                <w:color w:val="000000"/>
                <w:kern w:val="0"/>
                <w:sz w:val="28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2025 год 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>–</w:t>
            </w:r>
            <w:r>
              <w:rPr>
                <w:rFonts w:eastAsia="Tahoma" w:cs="Lohit Devanagari" w:ascii="Times New Roman" w:hAnsi="Times New Roman"/>
                <w:color w:val="000000"/>
                <w:kern w:val="0"/>
                <w:sz w:val="28"/>
                <w:szCs w:val="20"/>
                <w:lang w:val="ru-RU" w:eastAsia="zh-CN" w:bidi="hi-IN"/>
              </w:rPr>
              <w:t xml:space="preserve"> 12 243,36000 тыс. рублей».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</w:rPr>
        <w:t>8. В паспорте подпрограммы 8 «Совершенствование условий для развития торговли и обеспечения защиты прав потребителей в Камчатском крае» позицию «Объемы бюджетных ассигнований Подпрограммы 8» изложить в следующей редакции:</w:t>
      </w:r>
    </w:p>
    <w:tbl>
      <w:tblPr>
        <w:tblW w:w="5000" w:type="pct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2961"/>
        <w:gridCol w:w="6675"/>
      </w:tblGrid>
      <w:tr>
        <w:trPr/>
        <w:tc>
          <w:tcPr>
            <w:tcW w:w="2961" w:type="dxa"/>
            <w:tcBorders/>
          </w:tcPr>
          <w:p>
            <w:pPr>
              <w:pStyle w:val="ConsPlusNormal1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sz w:val="28"/>
              </w:rPr>
              <w:t>«Объемы бюджетных ассигнований</w:t>
            </w:r>
          </w:p>
          <w:p>
            <w:pPr>
              <w:pStyle w:val="ConsPlusNormal1"/>
              <w:widowControl w:val="false"/>
              <w:spacing w:lineRule="auto" w:line="240"/>
              <w:rPr/>
            </w:pPr>
            <w:r>
              <w:rPr>
                <w:rFonts w:ascii="Times New Roman" w:hAnsi="Times New Roman"/>
                <w:sz w:val="28"/>
              </w:rPr>
              <w:t>Подпрограммы 8</w:t>
            </w:r>
          </w:p>
        </w:tc>
        <w:tc>
          <w:tcPr>
            <w:tcW w:w="6675" w:type="dxa"/>
            <w:tcBorders/>
          </w:tcPr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общий объем финансирования Подпрограммы 8 за счет средств краевого бюджета составляет 33 113,93240 тыс. рублей, из них по годам: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2023 год – 1 193,93240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2024 год – 15 960,00000 тыс. рублей;</w:t>
            </w:r>
          </w:p>
          <w:p>
            <w:pPr>
              <w:pStyle w:val="ConsPlusNormal1"/>
              <w:widowControl w:val="false"/>
              <w:spacing w:lineRule="auto" w:line="24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2025 год – 15 960,00000 тыс. рублей».</w:t>
            </w:r>
          </w:p>
        </w:tc>
      </w:tr>
    </w:tbl>
    <w:p>
      <w:pPr>
        <w:sectPr>
          <w:headerReference w:type="default" r:id="rId3"/>
          <w:headerReference w:type="first" r:id="rId4"/>
          <w:type w:val="nextPage"/>
          <w:pgSz w:w="11906" w:h="16838"/>
          <w:pgMar w:left="1418" w:right="851" w:gutter="0" w:header="567" w:top="1191" w:footer="0" w:bottom="1134"/>
          <w:pgNumType w:fmt="decimal"/>
          <w:formProt w:val="false"/>
          <w:titlePg/>
          <w:textDirection w:val="lrTb"/>
          <w:docGrid w:type="default" w:linePitch="100" w:charSpace="12288"/>
        </w:sectPr>
        <w:pStyle w:val="BodyText"/>
        <w:rPr/>
      </w:pPr>
      <w:r>
        <w:rPr>
          <w:rFonts w:ascii="Times New Roman" w:hAnsi="Times New Roman"/>
          <w:sz w:val="28"/>
        </w:rPr>
        <w:tab/>
        <w:t>9. Приложение 3 к Программе изложить в следующей редакции: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«Приложение 3 </w:t>
      </w:r>
    </w:p>
    <w:p>
      <w:pPr>
        <w:pStyle w:val="Normal"/>
        <w:widowControl w:val="false"/>
        <w:spacing w:lineRule="auto" w:line="240" w:before="0" w:after="0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Программе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Финансовое обеспечение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государственной программы Камчатского края «Развитие экономики и внешнеэкономической деятельности Камчатского края»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/>
      </w:pPr>
      <w:r>
        <w:rPr/>
      </w:r>
    </w:p>
    <w:tbl>
      <w:tblPr>
        <w:tblW w:w="14561" w:type="dxa"/>
        <w:jc w:val="left"/>
        <w:tblInd w:w="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621"/>
        <w:gridCol w:w="1707"/>
        <w:gridCol w:w="1320"/>
        <w:gridCol w:w="945"/>
        <w:gridCol w:w="1595"/>
        <w:gridCol w:w="1629"/>
        <w:gridCol w:w="1427"/>
        <w:gridCol w:w="1536"/>
        <w:gridCol w:w="1429"/>
        <w:gridCol w:w="1372"/>
        <w:gridCol w:w="978"/>
      </w:tblGrid>
      <w:tr>
        <w:trPr/>
        <w:tc>
          <w:tcPr>
            <w:tcW w:w="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п/п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 Программы / подпрограммы / мероприятия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</w:rPr>
              <w:t>Код бюджетной классификации</w:t>
              <w:br/>
            </w:r>
          </w:p>
        </w:tc>
        <w:tc>
          <w:tcPr>
            <w:tcW w:w="99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средств на реализацию Программы (тыс.руб.)</w:t>
            </w:r>
          </w:p>
        </w:tc>
      </w:tr>
      <w:tr>
        <w:trPr/>
        <w:tc>
          <w:tcPr>
            <w:tcW w:w="62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69" w:after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69" w:after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13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before="269" w:after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</w:r>
          </w:p>
        </w:tc>
        <w:tc>
          <w:tcPr>
            <w:tcW w:w="94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ГРБС</w:t>
            </w:r>
          </w:p>
        </w:tc>
        <w:tc>
          <w:tcPr>
            <w:tcW w:w="1595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w="16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w="1427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w="153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w="142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w="13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w="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269" w:after="14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14561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627"/>
        <w:gridCol w:w="1702"/>
        <w:gridCol w:w="1298"/>
        <w:gridCol w:w="952"/>
        <w:gridCol w:w="1606"/>
        <w:gridCol w:w="1593"/>
        <w:gridCol w:w="1469"/>
        <w:gridCol w:w="1501"/>
        <w:gridCol w:w="1475"/>
        <w:gridCol w:w="1366"/>
        <w:gridCol w:w="970"/>
      </w:tblGrid>
      <w:tr>
        <w:trPr>
          <w:tblHeader w:val="true"/>
          <w:trHeight w:val="350" w:hRule="atLeast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Государственная программа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29 509 333,12958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16 891 965,11553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9 353 204,60299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1 349 416,07211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1 125 133,33455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789 614,00440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641 371,40000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285 886,70000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159 160,40000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125 425,50000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70 802,30000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355 599,00000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19 500,00000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159 160,40000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115 282,10000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61 560,00000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19 385,70000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10 143,40000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9 242,30000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266 386,70000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266 386,70000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12 286 626,23847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5 832 125,60758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3 958 661,51983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924 890,57211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785 231,03455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785 717,50440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1 279 894,39748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10 493 102,06266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5 309 616,46200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3 958 661,51983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515 635,16285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355 080,50798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354 108,41000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195,81516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102,45859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93,35657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522 509,14558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522 509,14558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1 347 550,00000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375 550,00000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299 100,00000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269 100,00000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3 800,00000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15 208 785,49111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10 348 952,80795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4 859 832,68316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 «Формирование благоприятной инвестиционной среды»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296 880,86700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228 419,95207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296 880,86700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228 419,95207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68 460,91493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228 419,95207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228 419,95207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119 110,28500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50 649,37007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119 110,28500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50 649,37007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68 460,91493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24 960,91493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14 250,00000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14 250,00000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50 649,37007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50 649,37007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и продвижение инвестиционного имиджа Камчатского края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177 770,58200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 «Развитие субъектов  малого и среднего предпринимательства»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2 910 353,24579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914 402,90222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886 684,86843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530900,65898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450 303,35416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128 061,46200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552 953,80000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266 284,20000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124 575,80000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106 212,10000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55 881,70000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267 283,90000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124 575,80000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96 068,70000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46 639,40000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19 385,70000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10 143,40000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9 242,30000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266 284,20000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266 284,20000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984 849,44579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223 118,70222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386 559,06843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125 588,55898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125 321,65416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124 261,46200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761 534,92841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386 559,06843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125 486,10039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125 228,29759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124 261,46200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195,81516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102,45859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93,35657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223 118,70222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223 118,70222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1 347 550,00000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400 000,00000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375 550,00000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299 100,00000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269 100,00000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3 800,00000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462 158,23483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94 350,00000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42 882,88031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42 710,54252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42 214,81200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425 758,23483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69 350,00000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39 082,88031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38 910,54252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38 414,81200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356 408,23483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240 000,00000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39 082,88031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38 910,54252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38 414,81200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69 350,00000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69 350,00000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25 000,00000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16 950,00000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5 550,00000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3 800,00000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3 800,00000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3 800,00000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I2 Региональный проект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19 757,97981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7 053,83839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7 247,37374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2 728,38384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2 728,38384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7 284,40000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1 538,30000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1 729,90000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2 008,10000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2 008,10000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5 746,10000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1 729,90000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2 008,10000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2 008,10000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1 538,30000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1 538,30000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73,57981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15,53839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17,47374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20,28384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20,28384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58,04142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17,47374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20,28384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20,28384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15,53839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15,53839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12 400,00000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5 500,00000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I4 Региональный проект «Создание условий для легкого старта и комфортного ведения бизнеса»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220 865,39220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52 451,90091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57 925,47576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51 899,31653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54 149,29900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4 439,40000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129 711,80000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33 878,60000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38 825,40000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27 595,00000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29 412,80000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95 833,20000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38 825,40000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27 595,00000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29 412,80000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33 878,60000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33 878,60000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21 153,59220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3 573,30091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4 100,07576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4 304,31653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4 736,49900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4 439,40000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17 580,29129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4 100,07576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4 304,31653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4 736,49900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4 439,40000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3 573,30091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3 573,30091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70 000,00000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20 000,00000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20 000,00000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3.4.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I5 Региональный проект «Акселерация субъектов малого и среднего предпринимательства»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2 202 021,63895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760 547,16292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575 962,01893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433 390,07830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350 715,12880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81 407,25000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415 957,60000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230 867,30000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84 020,50000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76 609,00000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24 460,80000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165 704,60000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84 020,50000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66 465,60000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15 218,50000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19 385,70000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10 143,40000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9 242,30000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230 867,30000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230 867,30000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537 864,03895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150 179,86292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142 441,51893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82 181,07830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81 654,32880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81 407,25000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387488,36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142 441,51893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82 078,61971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81 560,97223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81 407,25000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195,81516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102,45859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93,35657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150 179,86292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150 179,86292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1 248 200,00000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379 500,00000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349 500,00000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274 600,00000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244 600,00000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 «Развитие промышленности, внешнеэкономической деятельности, конкуренции»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116 161,88763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29 521,10596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51 213,52727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16 092,67840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9 667,28800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9 667,28800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31 839,20000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102,50000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22 567,10000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8 974,90000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98,20000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31 736,70000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22 567,10000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8 974,90000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98,20000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102,50000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84 322,68763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29 418,60596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28 646,42727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7 117,77840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9 569,08800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9 570,78800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54 904,08167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28 646,42727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7 117,77840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9 569,08800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9 570,78800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29 418,60596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29 418,60596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1 200,00000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  <w:t>1 200,00000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 w:eastAsia="Tahoma" w:cs="Lohit Devanagari"/>
                <w:color w:val="000000"/>
                <w:kern w:val="0"/>
                <w:sz w:val="20"/>
                <w:szCs w:val="20"/>
                <w:lang w:val="ru-RU" w:eastAsia="zh-CN" w:bidi="hi-IN"/>
              </w:rPr>
            </w:pPr>
            <w:r>
              <w:rPr>
                <w:rFonts w:eastAsia="Tahoma" w:cs="Lohit Devanagari" w:ascii="Times New Roman" w:hAnsi="Times New Roman"/>
                <w:color w:val="000000"/>
                <w:kern w:val="0"/>
                <w:sz w:val="20"/>
                <w:szCs w:val="20"/>
                <w:lang w:val="ru-RU" w:eastAsia="zh-CN" w:bidi="hi-IN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Подготовка управленческих кадров для отраслей экономики  Камчатского края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762,39734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155,30304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158,03030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149,68800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149,68800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149,68800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499,70000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104,30000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397,20000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104,30000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96,50000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102,50000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262,69734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52,80304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53,73030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51,48800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209,89430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53,73030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51,48800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51,48800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53,18800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52,80304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52,80304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4.4.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промышленного парка или промышленной площадки в Камчатском крае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36 697,45000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6 662,25000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36 697,45000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6 662,25000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25 697,45000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6 662,25000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9 517,60000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11 000,00000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4.5.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ООО «УК ТОР «Камчатка» в целях финансового обеспечения затрат, связанных с осуществлением функций по управлению территорией социально-экономического развития «Камчатка»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36 731,60292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36 731,60292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18 365,80292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18 365,80292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4.6.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T6 Региональный проект </w:t>
              <w:br/>
              <w:t>«Системные меры развития международной кооперации и экспорта»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850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46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4.7.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создания (капитализации) и (или) деятельности (докапитализации) регионального фонда развития промышленности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18 080,74040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8 080,74040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7 676,70000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7 676,70000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10 404,04040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10 000,00000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404,04040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4.8.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Реализация дополнительных мероприятий по финансовому обеспечению деятельности (докапитализации) регионального фонда развития промышленности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22 689,69697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22 689,69697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22 462,80000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22 462,80000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226,89697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226,89697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4 «Обеспечение доступности энергетических ресурсов»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23 086 494,92530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15 209 488,38302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7 877 006,54228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7 877 709,43419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4 860 535,57507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3 017 173,85912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59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безвозмездных поступлений от негосударственных организаций</w:t>
              <w:br/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15 208 785,49111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10 348 952,80795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4 859 832,68316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21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мер государственной поддержки при осуществлении тарифообразования на электрическую энергию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23 086 494,92530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15 209 488,38302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7 877 006,54228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7 877 709,43419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4 860 535,57507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3 017 173,85912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4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878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136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1011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безвозмездных поступлений от негосударственных организаций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15 208 785,49111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10 348 952,80795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4 859 832,68316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5 «Снижение административных барьеров, повышение качества предоставления  и доступности государственных услуг в Камчатском крае»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2 042 197,54571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370 316,68584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2 042 197,54571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370 316,68584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762 303,14823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370 316,68584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1 279 894,39748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Проведение комплексной оптимизации государственных услуг, предоставляемых исполнительными органами  Камчатского края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предоставления государственных и муниципальных услуг по принципу «одного окна» в Камчатском крае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2 041 897,54571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370 016,68584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2 041 897,54571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370 016,68584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762 003,14823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370 016,68584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391 986,46239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1 279 894,39748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418 228,13308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430 057,17000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431 609,09440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6 «Обеспечение реализации Программы»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710 901,62228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119 501,67742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110 618,98815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160 023,39432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160 382,26239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160 375,30000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4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710 901,62228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119 501,67742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110 618,98815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160 023,39432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160 382,26239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160 375,30000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669 349,73695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77 949,79209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110 618,98815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160 023,39432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160 382,26239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160 375,30000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5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40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6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4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56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Министерства экономического развития Камчатского края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663 986,19565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77 320,42209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110 618,98815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157 189,22302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160 382,26239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158 475,30000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663 986,19565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77 320,42209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110 618,98815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157 189,22302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160 382,26239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158 475,30000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Международная научно-практическая конференция «Региональные проблемы развития Дальнего Востока России и Арктики» («Моисеевские чтения»)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5 363,54130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629,37000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2 834,17130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1 900,00000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5 363,54130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629,37000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2 834,17130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1 900,00000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деятельности Министерства инвестиций, промышленности и предпринимательства Камчатского края</w:t>
              <w:b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860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41 551,88533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7 «Повышение производительности труда в Камчатском крае»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102 799,60347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20 314,40900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20 694,21447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22 481,86000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27 065,76000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12 243,36000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56 578,40000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19 500,00000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12 017,50000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10 238,50000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14 822,40000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46 221,20347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814,40900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8 676,71447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12 243,36000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12 243,36000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12 243,36000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L1 Региональный проект «Системные меры по повышению производительности труда»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808,10000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808,10000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102,70000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L2 Региональный проект «Адресная поддержка повышения производительности труда на предприятиях»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69 966,80900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19 914,40900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13 417,50000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14 096,50000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18 680,40000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3 858,00000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56 578,40000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19 500,00000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12 017,50000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10 238,50000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14 822,40000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13 388,40900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414,40900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1 400,00000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3 858,00000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3 858,00000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3 858,00000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эффективного управления процессами в исполнительных органах  Камчатского края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32 024,69447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7 176,71447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32 024,69447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7 176,71447</w:t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8 282,66000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8 «Развитие торговли и условий для обеспечения защиты прав потребителей в Камчатском крае»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33 113,93240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1 193,93240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33 113,93240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1 193,93240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Формирование современной инфраструктуры торговли и повышение уровня доступности товаров для потребителей в Камчатском крае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35 642,50000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1 193,93240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35 642,50000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1 193,93240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15 960,00000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Создание благоприятных условий для обеспечения защиты прав потребителей</w:t>
              <w:b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9 «Обеспечение эффективного функционирования территории опережающего развития «Камчатка»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210 430,36800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175 535,36800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210 430,36800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175 535,36800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10.1.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Предоставление субсидий ООО «КРДВ Камчатка» в целях финансового обеспечения затрат, возникающих при реализации функций по управлению территорией опережающего развития «Камчатка», установленных федеральным законом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52 342,50000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52 342,50000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17 447,50000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60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10.2.</w:t>
            </w:r>
          </w:p>
        </w:tc>
        <w:tc>
          <w:tcPr>
            <w:tcW w:w="170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Финансовое обеспечение затрат,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«Камчатка»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 в том числе:</w:t>
            </w:r>
          </w:p>
        </w:tc>
        <w:tc>
          <w:tcPr>
            <w:tcW w:w="9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843</w:t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158 087,86800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158 087,86800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федерального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краевого бюджета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158 087,86800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158 087,86800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местных бюджетов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государственных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570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внебюджетных фондов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795" w:hRule="atLeast"/>
        </w:trPr>
        <w:tc>
          <w:tcPr>
            <w:tcW w:w="627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70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 прочих внебюджетных источников</w:t>
            </w:r>
          </w:p>
        </w:tc>
        <w:tc>
          <w:tcPr>
            <w:tcW w:w="952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1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0,00000</w:t>
            </w: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before="0" w:after="16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sectPr>
      <w:headerReference w:type="default" r:id="rId5"/>
      <w:headerReference w:type="first" r:id="rId6"/>
      <w:type w:val="nextPage"/>
      <w:pgSz w:orient="landscape" w:w="16838" w:h="11906"/>
      <w:pgMar w:left="1134" w:right="1134" w:gutter="0" w:header="567" w:top="1191" w:footer="0" w:bottom="1134"/>
      <w:pgNumType w:fmt="decimal"/>
      <w:formProt w:val="false"/>
      <w:textDirection w:val="lrTb"/>
      <w:docGrid w:type="default" w:linePitch="10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XO Thames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160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sz w:val="28"/>
        <w:szCs w:val="28"/>
        <w:rFonts w:ascii="Times New Roman" w:hAnsi="Times New Roman"/>
      </w:rPr>
      <w:instrText xml:space="preserve"> PAGE </w:instrText>
    </w:r>
    <w:r>
      <w:rPr>
        <w:sz w:val="28"/>
        <w:szCs w:val="28"/>
        <w:rFonts w:ascii="Times New Roman" w:hAnsi="Times New Roman"/>
      </w:rPr>
      <w:fldChar w:fldCharType="separate"/>
    </w:r>
    <w:r>
      <w:rPr>
        <w:sz w:val="28"/>
        <w:szCs w:val="28"/>
        <w:rFonts w:ascii="Times New Roman" w:hAnsi="Times New Roman"/>
      </w:rPr>
      <w:t>53</w:t>
    </w:r>
    <w:r>
      <w:rPr>
        <w:sz w:val="28"/>
        <w:szCs w:val="28"/>
        <w:rFonts w:ascii="Times New Roman" w:hAnsi="Times New Roman"/>
      </w:rPr>
      <w:fldChar w:fldCharType="end"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/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ahoma" w:cs="Lohit Devanagari" w:asciiTheme="minorHAns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Heading1">
    <w:name w:val="Heading 1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0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Heading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1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Heading3">
    <w:name w:val="Heading 3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2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Heading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3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Heading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jc w:val="both"/>
      <w:outlineLvl w:val="4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tents2" w:customStyle="1">
    <w:name w:val="Contents 2"/>
    <w:qFormat/>
    <w:rPr>
      <w:rFonts w:ascii="XO Thames" w:hAnsi="XO Thames"/>
      <w:color w:val="000000"/>
      <w:sz w:val="28"/>
    </w:rPr>
  </w:style>
  <w:style w:type="character" w:styleId="6" w:customStyle="1">
    <w:name w:val="Оглавление 6 Знак"/>
    <w:link w:val="61"/>
    <w:qFormat/>
    <w:rPr>
      <w:rFonts w:ascii="XO Thames" w:hAnsi="XO Thames"/>
      <w:sz w:val="28"/>
    </w:rPr>
  </w:style>
  <w:style w:type="character" w:styleId="Contents4" w:customStyle="1">
    <w:name w:val="Contents 4"/>
    <w:qFormat/>
    <w:rPr>
      <w:rFonts w:ascii="XO Thames" w:hAnsi="XO Thames"/>
      <w:color w:val="000000"/>
      <w:sz w:val="28"/>
    </w:rPr>
  </w:style>
  <w:style w:type="character" w:styleId="Contents6" w:customStyle="1">
    <w:name w:val="Contents 6"/>
    <w:qFormat/>
    <w:rPr>
      <w:rFonts w:ascii="XO Thames" w:hAnsi="XO Thames"/>
      <w:color w:val="000000"/>
      <w:sz w:val="28"/>
    </w:rPr>
  </w:style>
  <w:style w:type="character" w:styleId="Contents7" w:customStyle="1">
    <w:name w:val="Contents 7"/>
    <w:qFormat/>
    <w:rPr>
      <w:rFonts w:ascii="XO Thames" w:hAnsi="XO Thames"/>
      <w:color w:val="000000"/>
      <w:sz w:val="28"/>
    </w:rPr>
  </w:style>
  <w:style w:type="character" w:styleId="Style9" w:customStyle="1">
    <w:name w:val="Заголовок таблицы"/>
    <w:basedOn w:val="Style14"/>
    <w:link w:val="110"/>
    <w:qFormat/>
    <w:rPr>
      <w:b/>
    </w:rPr>
  </w:style>
  <w:style w:type="character" w:styleId="9" w:customStyle="1">
    <w:name w:val="Оглавление 9 Знак"/>
    <w:link w:val="91"/>
    <w:qFormat/>
    <w:rPr>
      <w:rFonts w:ascii="XO Thames" w:hAnsi="XO Thames"/>
      <w:sz w:val="28"/>
    </w:rPr>
  </w:style>
  <w:style w:type="character" w:styleId="Heading31" w:customStyle="1">
    <w:name w:val="Heading 31"/>
    <w:qFormat/>
    <w:rPr>
      <w:rFonts w:ascii="XO Thames" w:hAnsi="XO Thames"/>
      <w:b/>
      <w:color w:val="000000"/>
      <w:sz w:val="26"/>
    </w:rPr>
  </w:style>
  <w:style w:type="character" w:styleId="Style10" w:customStyle="1">
    <w:name w:val="Название Знак"/>
    <w:link w:val="113"/>
    <w:qFormat/>
    <w:rPr>
      <w:rFonts w:ascii="XO Thames" w:hAnsi="XO Thames"/>
      <w:b/>
      <w:caps/>
      <w:sz w:val="40"/>
    </w:rPr>
  </w:style>
  <w:style w:type="character" w:styleId="3" w:customStyle="1">
    <w:name w:val="Оглавление 3 Знак"/>
    <w:link w:val="311"/>
    <w:qFormat/>
    <w:rPr>
      <w:rFonts w:ascii="XO Thames" w:hAnsi="XO Thames"/>
      <w:sz w:val="28"/>
    </w:rPr>
  </w:style>
  <w:style w:type="character" w:styleId="31" w:customStyle="1">
    <w:name w:val="Заголовок 3 Знак"/>
    <w:link w:val="312"/>
    <w:qFormat/>
    <w:rPr>
      <w:rFonts w:ascii="XO Thames" w:hAnsi="XO Thames"/>
      <w:b/>
      <w:sz w:val="26"/>
    </w:rPr>
  </w:style>
  <w:style w:type="character" w:styleId="1" w:customStyle="1">
    <w:name w:val="Текст1"/>
    <w:link w:val="PlainText1"/>
    <w:qFormat/>
    <w:rPr>
      <w:rFonts w:ascii="Calibri" w:hAnsi="Calibri"/>
    </w:rPr>
  </w:style>
  <w:style w:type="character" w:styleId="List1" w:customStyle="1">
    <w:name w:val="List1"/>
    <w:basedOn w:val="Textbody"/>
    <w:qFormat/>
    <w:rPr/>
  </w:style>
  <w:style w:type="character" w:styleId="11" w:customStyle="1">
    <w:name w:val="Оглавление 1 Знак"/>
    <w:link w:val="114"/>
    <w:qFormat/>
    <w:rPr>
      <w:rFonts w:ascii="XO Thames" w:hAnsi="XO Thames"/>
      <w:b/>
      <w:sz w:val="28"/>
    </w:rPr>
  </w:style>
  <w:style w:type="character" w:styleId="Contents3" w:customStyle="1">
    <w:name w:val="Contents 3"/>
    <w:qFormat/>
    <w:rPr>
      <w:rFonts w:ascii="XO Thames" w:hAnsi="XO Thames"/>
      <w:color w:val="000000"/>
      <w:sz w:val="28"/>
    </w:rPr>
  </w:style>
  <w:style w:type="character" w:styleId="4" w:customStyle="1">
    <w:name w:val="Оглавление 4 Знак"/>
    <w:link w:val="411"/>
    <w:qFormat/>
    <w:rPr>
      <w:rFonts w:ascii="XO Thames" w:hAnsi="XO Thames"/>
      <w:sz w:val="28"/>
    </w:rPr>
  </w:style>
  <w:style w:type="character" w:styleId="7" w:customStyle="1">
    <w:name w:val="Оглавление 7 Знак"/>
    <w:link w:val="71"/>
    <w:qFormat/>
    <w:rPr>
      <w:rFonts w:ascii="XO Thames" w:hAnsi="XO Thames"/>
      <w:sz w:val="28"/>
    </w:rPr>
  </w:style>
  <w:style w:type="character" w:styleId="12" w:customStyle="1">
    <w:name w:val="Текст выноски1"/>
    <w:link w:val="BalloonText1"/>
    <w:qFormat/>
    <w:rPr>
      <w:rFonts w:ascii="Segoe UI" w:hAnsi="Segoe UI"/>
      <w:sz w:val="18"/>
    </w:rPr>
  </w:style>
  <w:style w:type="character" w:styleId="Caption1" w:customStyle="1">
    <w:name w:val="Caption1"/>
    <w:qFormat/>
    <w:rPr>
      <w:i/>
      <w:sz w:val="24"/>
    </w:rPr>
  </w:style>
  <w:style w:type="character" w:styleId="Style11" w:customStyle="1">
    <w:name w:val="Нижний колонтитул Знак"/>
    <w:basedOn w:val="14"/>
    <w:link w:val="115"/>
    <w:qFormat/>
    <w:rPr>
      <w:rFonts w:ascii="Times New Roman" w:hAnsi="Times New Roman"/>
      <w:sz w:val="28"/>
    </w:rPr>
  </w:style>
  <w:style w:type="character" w:styleId="Heading51" w:customStyle="1">
    <w:name w:val="Heading 51"/>
    <w:qFormat/>
    <w:rPr>
      <w:rFonts w:ascii="XO Thames" w:hAnsi="XO Thames"/>
      <w:b/>
      <w:color w:val="000000"/>
      <w:sz w:val="22"/>
    </w:rPr>
  </w:style>
  <w:style w:type="character" w:styleId="Heading11" w:customStyle="1">
    <w:name w:val="Heading 11"/>
    <w:qFormat/>
    <w:rPr>
      <w:rFonts w:ascii="XO Thames" w:hAnsi="XO Thames"/>
      <w:b/>
      <w:color w:val="000000"/>
      <w:sz w:val="32"/>
    </w:rPr>
  </w:style>
  <w:style w:type="character" w:styleId="2" w:customStyle="1">
    <w:name w:val="Оглавление 2 Знак"/>
    <w:link w:val="211"/>
    <w:qFormat/>
    <w:rPr>
      <w:rFonts w:ascii="XO Thames" w:hAnsi="XO Thames"/>
      <w:sz w:val="28"/>
    </w:rPr>
  </w:style>
  <w:style w:type="character" w:styleId="13" w:customStyle="1">
    <w:name w:val="Основной шрифт абзаца1"/>
    <w:link w:val="116"/>
    <w:qFormat/>
    <w:rPr>
      <w:rFonts w:ascii="Calibri" w:hAnsi="Calibri" w:asciiTheme="minorHAnsi" w:hAnsiTheme="minorHAnsi"/>
      <w:color w:val="000000"/>
      <w:sz w:val="22"/>
    </w:rPr>
  </w:style>
  <w:style w:type="character" w:styleId="14" w:customStyle="1">
    <w:name w:val="Обычный1"/>
    <w:link w:val="117"/>
    <w:qFormat/>
    <w:rPr/>
  </w:style>
  <w:style w:type="character" w:styleId="Hyperlink">
    <w:name w:val="Hyperlink"/>
    <w:basedOn w:val="DefaultParagraphFont"/>
    <w:rPr>
      <w:color w:themeColor="hyperlink" w:val="0563C1"/>
      <w:u w:val="single"/>
    </w:rPr>
  </w:style>
  <w:style w:type="character" w:styleId="Footnote" w:customStyle="1">
    <w:name w:val="Footnote"/>
    <w:link w:val="Footnote2"/>
    <w:qFormat/>
    <w:rPr>
      <w:rFonts w:ascii="XO Thames" w:hAnsi="XO Thames"/>
      <w:sz w:val="22"/>
    </w:rPr>
  </w:style>
  <w:style w:type="character" w:styleId="Header1" w:customStyle="1">
    <w:name w:val="Header1"/>
    <w:qFormat/>
    <w:rPr/>
  </w:style>
  <w:style w:type="character" w:styleId="15" w:customStyle="1">
    <w:name w:val="Гиперссылка1"/>
    <w:basedOn w:val="13"/>
    <w:link w:val="1110"/>
    <w:qFormat/>
    <w:rPr>
      <w:rFonts w:ascii="Calibri" w:hAnsi="Calibri" w:asciiTheme="minorHAnsi" w:hAnsiTheme="minorHAnsi"/>
      <w:color w:themeColor="hyperlink" w:val="0563C1"/>
      <w:sz w:val="22"/>
      <w:u w:val="single"/>
    </w:rPr>
  </w:style>
  <w:style w:type="character" w:styleId="Contents1" w:customStyle="1">
    <w:name w:val="Contents 1"/>
    <w:qFormat/>
    <w:rPr>
      <w:rFonts w:ascii="XO Thames" w:hAnsi="XO Thames"/>
      <w:b/>
      <w:color w:val="000000"/>
      <w:sz w:val="28"/>
    </w:rPr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Contents9" w:customStyle="1">
    <w:name w:val="Contents 9"/>
    <w:qFormat/>
    <w:rPr>
      <w:rFonts w:ascii="XO Thames" w:hAnsi="XO Thames"/>
      <w:color w:val="000000"/>
      <w:sz w:val="28"/>
    </w:rPr>
  </w:style>
  <w:style w:type="character" w:styleId="Style12" w:customStyle="1">
    <w:name w:val="Верхний колонтитул Знак"/>
    <w:basedOn w:val="14"/>
    <w:link w:val="120"/>
    <w:qFormat/>
    <w:rPr/>
  </w:style>
  <w:style w:type="character" w:styleId="Footnote1" w:customStyle="1">
    <w:name w:val="Footnote1"/>
    <w:link w:val="Footnote11"/>
    <w:qFormat/>
    <w:rPr>
      <w:rFonts w:ascii="XO Thames" w:hAnsi="XO Thames"/>
      <w:color w:val="000000"/>
      <w:sz w:val="22"/>
    </w:rPr>
  </w:style>
  <w:style w:type="character" w:styleId="16" w:customStyle="1">
    <w:name w:val="Заголовок 1 Знак"/>
    <w:link w:val="1113"/>
    <w:qFormat/>
    <w:rPr>
      <w:rFonts w:ascii="XO Thames" w:hAnsi="XO Thames"/>
      <w:b/>
      <w:sz w:val="32"/>
    </w:rPr>
  </w:style>
  <w:style w:type="character" w:styleId="Contents8" w:customStyle="1">
    <w:name w:val="Contents 8"/>
    <w:qFormat/>
    <w:rPr>
      <w:rFonts w:ascii="XO Thames" w:hAnsi="XO Thames"/>
      <w:color w:val="000000"/>
      <w:sz w:val="28"/>
    </w:rPr>
  </w:style>
  <w:style w:type="character" w:styleId="5" w:customStyle="1">
    <w:name w:val="Заголовок 5 Знак"/>
    <w:link w:val="511"/>
    <w:qFormat/>
    <w:rPr>
      <w:rFonts w:ascii="XO Thames" w:hAnsi="XO Thames"/>
      <w:b/>
      <w:sz w:val="22"/>
    </w:rPr>
  </w:style>
  <w:style w:type="character" w:styleId="51" w:customStyle="1">
    <w:name w:val="Оглавление 5 Знак"/>
    <w:link w:val="512"/>
    <w:qFormat/>
    <w:rPr>
      <w:rFonts w:ascii="XO Thames" w:hAnsi="XO Thames"/>
      <w:sz w:val="28"/>
    </w:rPr>
  </w:style>
  <w:style w:type="character" w:styleId="Style13" w:customStyle="1">
    <w:name w:val="Колонтитул"/>
    <w:link w:val="118"/>
    <w:qFormat/>
    <w:rPr>
      <w:rFonts w:ascii="XO Thames" w:hAnsi="XO Thames"/>
      <w:color w:val="000000"/>
      <w:sz w:val="20"/>
    </w:rPr>
  </w:style>
  <w:style w:type="character" w:styleId="17" w:customStyle="1">
    <w:name w:val="Указатель1"/>
    <w:link w:val="1111111111112"/>
    <w:qFormat/>
    <w:rPr/>
  </w:style>
  <w:style w:type="character" w:styleId="Footer1" w:customStyle="1">
    <w:name w:val="Footer1"/>
    <w:qFormat/>
    <w:rPr>
      <w:rFonts w:ascii="Times New Roman" w:hAnsi="Times New Roman"/>
      <w:sz w:val="28"/>
    </w:rPr>
  </w:style>
  <w:style w:type="character" w:styleId="Contents5" w:customStyle="1">
    <w:name w:val="Contents 5"/>
    <w:qFormat/>
    <w:rPr>
      <w:rFonts w:ascii="XO Thames" w:hAnsi="XO Thames"/>
      <w:color w:val="000000"/>
      <w:sz w:val="28"/>
    </w:rPr>
  </w:style>
  <w:style w:type="character" w:styleId="Style14" w:customStyle="1">
    <w:name w:val="Содержимое таблицы"/>
    <w:link w:val="19"/>
    <w:qFormat/>
    <w:rPr/>
  </w:style>
  <w:style w:type="character" w:styleId="21" w:customStyle="1">
    <w:name w:val="Заголовок 2 Знак"/>
    <w:link w:val="213"/>
    <w:qFormat/>
    <w:rPr>
      <w:rFonts w:ascii="XO Thames" w:hAnsi="XO Thames"/>
      <w:b/>
      <w:sz w:val="28"/>
    </w:rPr>
  </w:style>
  <w:style w:type="character" w:styleId="ConsPlusNormal" w:customStyle="1">
    <w:name w:val="ConsPlusNormal"/>
    <w:link w:val="ConsPlusNormal1"/>
    <w:qFormat/>
    <w:rPr>
      <w:rFonts w:ascii="Calibri" w:hAnsi="Calibri" w:asciiTheme="minorHAnsi" w:hAnsiTheme="minorHAnsi"/>
      <w:color w:val="000000"/>
      <w:sz w:val="22"/>
    </w:rPr>
  </w:style>
  <w:style w:type="character" w:styleId="18" w:customStyle="1">
    <w:name w:val="Заголовок1"/>
    <w:link w:val="1111111111111"/>
    <w:qFormat/>
    <w:rPr>
      <w:rFonts w:ascii="Open Sans" w:hAnsi="Open Sans"/>
      <w:sz w:val="28"/>
    </w:rPr>
  </w:style>
  <w:style w:type="character" w:styleId="Subtitle1" w:customStyle="1">
    <w:name w:val="Subtitle1"/>
    <w:qFormat/>
    <w:rPr>
      <w:rFonts w:ascii="XO Thames" w:hAnsi="XO Thames"/>
      <w:i/>
      <w:color w:val="000000"/>
      <w:sz w:val="24"/>
    </w:rPr>
  </w:style>
  <w:style w:type="character" w:styleId="41" w:customStyle="1">
    <w:name w:val="Заголовок 4 Знак"/>
    <w:link w:val="412"/>
    <w:qFormat/>
    <w:rPr>
      <w:rFonts w:ascii="XO Thames" w:hAnsi="XO Thames"/>
      <w:b/>
      <w:sz w:val="24"/>
    </w:rPr>
  </w:style>
  <w:style w:type="character" w:styleId="Title1" w:customStyle="1">
    <w:name w:val="Title1"/>
    <w:qFormat/>
    <w:rPr>
      <w:rFonts w:ascii="XO Thames" w:hAnsi="XO Thames"/>
      <w:b/>
      <w:caps/>
      <w:color w:val="000000"/>
      <w:sz w:val="40"/>
    </w:rPr>
  </w:style>
  <w:style w:type="character" w:styleId="Heading41" w:customStyle="1">
    <w:name w:val="Heading 41"/>
    <w:qFormat/>
    <w:rPr>
      <w:rFonts w:ascii="XO Thames" w:hAnsi="XO Thames"/>
      <w:b/>
      <w:color w:val="000000"/>
      <w:sz w:val="24"/>
    </w:rPr>
  </w:style>
  <w:style w:type="character" w:styleId="Heading21" w:customStyle="1">
    <w:name w:val="Heading 21"/>
    <w:qFormat/>
    <w:rPr>
      <w:rFonts w:ascii="XO Thames" w:hAnsi="XO Thames"/>
      <w:b/>
      <w:color w:val="000000"/>
      <w:sz w:val="28"/>
    </w:rPr>
  </w:style>
  <w:style w:type="character" w:styleId="8" w:customStyle="1">
    <w:name w:val="Оглавление 8 Знак"/>
    <w:link w:val="811"/>
    <w:qFormat/>
    <w:rPr>
      <w:rFonts w:ascii="XO Thames" w:hAnsi="XO Thames"/>
      <w:sz w:val="28"/>
    </w:rPr>
  </w:style>
  <w:style w:type="character" w:styleId="Style15" w:customStyle="1">
    <w:name w:val="Подзаголовок Знак"/>
    <w:link w:val="122"/>
    <w:qFormat/>
    <w:rPr>
      <w:rFonts w:ascii="XO Thames" w:hAnsi="XO Thames"/>
      <w:i/>
      <w:sz w:val="24"/>
    </w:rPr>
  </w:style>
  <w:style w:type="character" w:styleId="Textbody" w:customStyle="1">
    <w:name w:val="Text body"/>
    <w:qFormat/>
    <w:rPr/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Tahoma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Title">
    <w:name w:val="Title"/>
    <w:next w:val="BodyText"/>
    <w:uiPriority w:val="10"/>
    <w:qFormat/>
    <w:pPr>
      <w:widowControl/>
      <w:suppressAutoHyphens w:val="true"/>
      <w:bidi w:val="0"/>
      <w:spacing w:lineRule="auto" w:line="264" w:before="567" w:after="567"/>
      <w:jc w:val="center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Caption2">
    <w:name w:val="caption2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Caption21" w:customStyle="1">
    <w:name w:val="caption2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11" w:customStyle="1">
    <w:name w:val="Заголовок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Caption211" w:customStyle="1">
    <w:name w:val="caption211"/>
    <w:basedOn w:val="Normal"/>
    <w:qFormat/>
    <w:pPr>
      <w:spacing w:before="120" w:after="120"/>
    </w:pPr>
    <w:rPr>
      <w:i/>
      <w:sz w:val="24"/>
    </w:rPr>
  </w:style>
  <w:style w:type="paragraph" w:styleId="112" w:customStyle="1">
    <w:name w:val="Указатель11"/>
    <w:basedOn w:val="Normal"/>
    <w:qFormat/>
    <w:pPr>
      <w:suppressLineNumbers/>
    </w:pPr>
    <w:rPr/>
  </w:style>
  <w:style w:type="paragraph" w:styleId="1111" w:customStyle="1">
    <w:name w:val="Заголовок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2" w:customStyle="1">
    <w:name w:val="Указатель111"/>
    <w:basedOn w:val="Normal"/>
    <w:qFormat/>
    <w:pPr>
      <w:suppressLineNumbers/>
    </w:pPr>
    <w:rPr/>
  </w:style>
  <w:style w:type="paragraph" w:styleId="11111" w:customStyle="1">
    <w:name w:val="Заголовок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2" w:customStyle="1">
    <w:name w:val="Указатель1111"/>
    <w:basedOn w:val="Normal"/>
    <w:qFormat/>
    <w:pPr>
      <w:suppressLineNumbers/>
    </w:pPr>
    <w:rPr/>
  </w:style>
  <w:style w:type="paragraph" w:styleId="111111" w:customStyle="1">
    <w:name w:val="Заголовок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2" w:customStyle="1">
    <w:name w:val="Указатель11111"/>
    <w:basedOn w:val="Normal"/>
    <w:qFormat/>
    <w:pPr>
      <w:suppressLineNumbers/>
    </w:pPr>
    <w:rPr/>
  </w:style>
  <w:style w:type="paragraph" w:styleId="1111111" w:customStyle="1">
    <w:name w:val="Заголовок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2" w:customStyle="1">
    <w:name w:val="Указатель111111"/>
    <w:basedOn w:val="Normal"/>
    <w:qFormat/>
    <w:pPr>
      <w:suppressLineNumbers/>
    </w:pPr>
    <w:rPr/>
  </w:style>
  <w:style w:type="paragraph" w:styleId="11111111" w:customStyle="1">
    <w:name w:val="Заголовок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2" w:customStyle="1">
    <w:name w:val="Указатель1111111"/>
    <w:basedOn w:val="Normal"/>
    <w:qFormat/>
    <w:pPr>
      <w:suppressLineNumbers/>
    </w:pPr>
    <w:rPr/>
  </w:style>
  <w:style w:type="paragraph" w:styleId="111111111" w:customStyle="1">
    <w:name w:val="Заголовок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2" w:customStyle="1">
    <w:name w:val="Указатель11111111"/>
    <w:basedOn w:val="Normal"/>
    <w:qFormat/>
    <w:pPr>
      <w:suppressLineNumbers/>
    </w:pPr>
    <w:rPr/>
  </w:style>
  <w:style w:type="paragraph" w:styleId="1111111111" w:customStyle="1">
    <w:name w:val="Заголовок1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12" w:customStyle="1">
    <w:name w:val="Указатель111111111"/>
    <w:basedOn w:val="Normal"/>
    <w:qFormat/>
    <w:pPr>
      <w:suppressLineNumbers/>
    </w:pPr>
    <w:rPr/>
  </w:style>
  <w:style w:type="paragraph" w:styleId="11111111111" w:customStyle="1">
    <w:name w:val="Заголовок11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112" w:customStyle="1">
    <w:name w:val="Указатель1111111111"/>
    <w:basedOn w:val="Normal"/>
    <w:qFormat/>
    <w:pPr>
      <w:suppressLineNumbers/>
    </w:pPr>
    <w:rPr/>
  </w:style>
  <w:style w:type="paragraph" w:styleId="111111111111" w:customStyle="1">
    <w:name w:val="Заголовок11111111111"/>
    <w:basedOn w:val="Normal"/>
    <w:next w:val="BodyText"/>
    <w:qFormat/>
    <w:pPr>
      <w:keepNext w:val="true"/>
      <w:spacing w:before="240" w:after="120"/>
    </w:pPr>
    <w:rPr>
      <w:rFonts w:ascii="Open Sans" w:hAnsi="Open Sans"/>
      <w:sz w:val="28"/>
      <w:szCs w:val="28"/>
    </w:rPr>
  </w:style>
  <w:style w:type="paragraph" w:styleId="111111111112" w:customStyle="1">
    <w:name w:val="Указатель11111111111"/>
    <w:basedOn w:val="Normal"/>
    <w:qFormat/>
    <w:pPr>
      <w:suppressLineNumbers/>
    </w:pPr>
    <w:rPr/>
  </w:style>
  <w:style w:type="paragraph" w:styleId="1111111111111" w:customStyle="1">
    <w:name w:val="Заголовок111111111111"/>
    <w:basedOn w:val="Normal"/>
    <w:next w:val="BodyText"/>
    <w:link w:val="18"/>
    <w:qFormat/>
    <w:pPr>
      <w:keepNext w:val="true"/>
      <w:spacing w:before="240" w:after="120"/>
    </w:pPr>
    <w:rPr>
      <w:rFonts w:ascii="Open Sans" w:hAnsi="Open Sans"/>
      <w:sz w:val="28"/>
    </w:rPr>
  </w:style>
  <w:style w:type="paragraph" w:styleId="1111111111112" w:customStyle="1">
    <w:name w:val="Указатель111111111111"/>
    <w:basedOn w:val="Normal"/>
    <w:link w:val="17"/>
    <w:qFormat/>
    <w:pPr/>
    <w:rPr/>
  </w:style>
  <w:style w:type="paragraph" w:styleId="TOC2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61" w:customStyle="1">
    <w:name w:val="Оглавление 6 Знак1"/>
    <w:link w:val="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4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0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TOC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2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9" w:customStyle="1">
    <w:name w:val="Содержимое таблицы1"/>
    <w:basedOn w:val="Normal"/>
    <w:link w:val="Style14"/>
    <w:qFormat/>
    <w:pPr>
      <w:widowControl w:val="false"/>
    </w:pPr>
    <w:rPr/>
  </w:style>
  <w:style w:type="paragraph" w:styleId="110" w:customStyle="1">
    <w:name w:val="Заголовок таблицы1"/>
    <w:basedOn w:val="19"/>
    <w:link w:val="Style9"/>
    <w:qFormat/>
    <w:pPr>
      <w:jc w:val="center"/>
    </w:pPr>
    <w:rPr>
      <w:b/>
    </w:rPr>
  </w:style>
  <w:style w:type="paragraph" w:styleId="91" w:customStyle="1">
    <w:name w:val="Оглавление 9 Знак1"/>
    <w:link w:val="9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3" w:customStyle="1">
    <w:name w:val="Название Знак1"/>
    <w:link w:val="Style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aps/>
      <w:color w:val="000000"/>
      <w:kern w:val="0"/>
      <w:sz w:val="40"/>
      <w:szCs w:val="20"/>
      <w:lang w:val="ru-RU" w:eastAsia="zh-CN" w:bidi="hi-IN"/>
    </w:rPr>
  </w:style>
  <w:style w:type="paragraph" w:styleId="311" w:customStyle="1">
    <w:name w:val="Оглавление 3 Знак1"/>
    <w:link w:val="3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312" w:customStyle="1">
    <w:name w:val="Заголовок 3 Знак1"/>
    <w:link w:val="3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6"/>
      <w:szCs w:val="20"/>
      <w:lang w:val="ru-RU" w:eastAsia="zh-CN" w:bidi="hi-IN"/>
    </w:rPr>
  </w:style>
  <w:style w:type="paragraph" w:styleId="PlainText1" w:customStyle="1">
    <w:name w:val="Plain Text1"/>
    <w:basedOn w:val="Normal"/>
    <w:link w:val="1"/>
    <w:qFormat/>
    <w:pPr>
      <w:spacing w:lineRule="auto" w:line="240" w:before="0" w:after="0"/>
    </w:pPr>
    <w:rPr>
      <w:rFonts w:ascii="Calibri" w:hAnsi="Calibri"/>
    </w:rPr>
  </w:style>
  <w:style w:type="paragraph" w:styleId="114" w:customStyle="1">
    <w:name w:val="Оглавление 1 Знак1"/>
    <w:link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TOC3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411" w:customStyle="1">
    <w:name w:val="Оглавление 4 Знак1"/>
    <w:link w:val="4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71" w:customStyle="1">
    <w:name w:val="Оглавление 7 Знак1"/>
    <w:link w:val="7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BalloonText1" w:customStyle="1">
    <w:name w:val="Balloon Text1"/>
    <w:basedOn w:val="Normal"/>
    <w:link w:val="12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115" w:customStyle="1">
    <w:name w:val="Нижний колонтитул Знак1"/>
    <w:basedOn w:val="117"/>
    <w:link w:val="Style11"/>
    <w:qFormat/>
    <w:pPr/>
    <w:rPr>
      <w:rFonts w:ascii="Times New Roman" w:hAnsi="Times New Roman"/>
      <w:sz w:val="28"/>
    </w:rPr>
  </w:style>
  <w:style w:type="paragraph" w:styleId="211" w:customStyle="1">
    <w:name w:val="Оглавление 2 Знак1"/>
    <w:link w:val="2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16" w:customStyle="1">
    <w:name w:val="Основной шрифт абзаца11"/>
    <w:link w:val="13"/>
    <w:qFormat/>
    <w:pPr>
      <w:widowControl/>
      <w:suppressAutoHyphens w:val="true"/>
      <w:bidi w:val="0"/>
      <w:spacing w:lineRule="auto" w:line="264" w:before="0" w:after="16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117" w:customStyle="1">
    <w:name w:val="Обычный11"/>
    <w:link w:val="14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Internetlink" w:customStyle="1">
    <w:name w:val="Internet link"/>
    <w:basedOn w:val="DefaultParagraphFont1"/>
    <w:qFormat/>
    <w:pPr/>
    <w:rPr>
      <w:color w:themeColor="hyperlink" w:val="0563C1"/>
      <w:u w:val="single"/>
    </w:rPr>
  </w:style>
  <w:style w:type="paragraph" w:styleId="Footnote2" w:customStyle="1">
    <w:name w:val="Footnote2"/>
    <w:link w:val="Footnote"/>
    <w:qFormat/>
    <w:pPr>
      <w:widowControl/>
      <w:suppressAutoHyphens w:val="true"/>
      <w:bidi w:val="0"/>
      <w:spacing w:before="0" w:after="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118" w:customStyle="1">
    <w:name w:val="Колонтитул1"/>
    <w:link w:val="Style13"/>
    <w:qFormat/>
    <w:pPr>
      <w:widowControl/>
      <w:suppressAutoHyphens w:val="true"/>
      <w:bidi w:val="0"/>
      <w:spacing w:before="0" w:after="160"/>
      <w:jc w:val="both"/>
    </w:pPr>
    <w:rPr>
      <w:rFonts w:ascii="XO Thames" w:hAnsi="XO Thames" w:eastAsia="Tahoma" w:cs="Lohit Devanagari"/>
      <w:color w:val="000000"/>
      <w:kern w:val="0"/>
      <w:sz w:val="20"/>
      <w:szCs w:val="20"/>
      <w:lang w:val="ru-RU" w:eastAsia="zh-CN" w:bidi="hi-IN"/>
    </w:rPr>
  </w:style>
  <w:style w:type="paragraph" w:styleId="22" w:customStyle="1">
    <w:name w:val="Колонтитул2"/>
    <w:basedOn w:val="Normal"/>
    <w:qFormat/>
    <w:pPr/>
    <w:rPr/>
  </w:style>
  <w:style w:type="paragraph" w:styleId="32" w:customStyle="1">
    <w:name w:val="Колонтитул3"/>
    <w:basedOn w:val="Normal"/>
    <w:qFormat/>
    <w:pPr/>
    <w:rPr/>
  </w:style>
  <w:style w:type="paragraph" w:styleId="42" w:customStyle="1">
    <w:name w:val="Колонтитул4"/>
    <w:basedOn w:val="Normal"/>
    <w:qFormat/>
    <w:pPr/>
    <w:rPr/>
  </w:style>
  <w:style w:type="paragraph" w:styleId="52" w:customStyle="1">
    <w:name w:val="Колонтитул5"/>
    <w:basedOn w:val="Normal"/>
    <w:qFormat/>
    <w:pPr/>
    <w:rPr/>
  </w:style>
  <w:style w:type="paragraph" w:styleId="62" w:customStyle="1">
    <w:name w:val="Колонтитул6"/>
    <w:basedOn w:val="Normal"/>
    <w:qFormat/>
    <w:pPr/>
    <w:rPr/>
  </w:style>
  <w:style w:type="paragraph" w:styleId="72" w:customStyle="1">
    <w:name w:val="Колонтитул7"/>
    <w:basedOn w:val="Normal"/>
    <w:qFormat/>
    <w:pPr/>
    <w:rPr/>
  </w:style>
  <w:style w:type="paragraph" w:styleId="81" w:customStyle="1">
    <w:name w:val="Колонтитул8"/>
    <w:basedOn w:val="Normal"/>
    <w:qFormat/>
    <w:pPr/>
    <w:rPr/>
  </w:style>
  <w:style w:type="paragraph" w:styleId="92" w:customStyle="1">
    <w:name w:val="Колонтитул9"/>
    <w:basedOn w:val="Normal"/>
    <w:qFormat/>
    <w:pPr/>
    <w:rPr/>
  </w:style>
  <w:style w:type="paragraph" w:styleId="10" w:customStyle="1">
    <w:name w:val="Колонтитул10"/>
    <w:basedOn w:val="Normal"/>
    <w:qFormat/>
    <w:pPr/>
    <w:rPr/>
  </w:style>
  <w:style w:type="paragraph" w:styleId="119" w:customStyle="1">
    <w:name w:val="Колонтитул11"/>
    <w:basedOn w:val="Normal"/>
    <w:qFormat/>
    <w:pPr/>
    <w:rPr/>
  </w:style>
  <w:style w:type="paragraph" w:styleId="121" w:customStyle="1">
    <w:name w:val="Колонтитул12"/>
    <w:basedOn w:val="Normal"/>
    <w:qFormat/>
    <w:pPr/>
    <w:rPr/>
  </w:style>
  <w:style w:type="paragraph" w:styleId="131" w:customStyle="1">
    <w:name w:val="Колонтитул13"/>
    <w:basedOn w:val="Normal"/>
    <w:qFormat/>
    <w:pPr/>
    <w:rPr/>
  </w:style>
  <w:style w:type="paragraph" w:styleId="141" w:customStyle="1">
    <w:name w:val="Колонтитул14"/>
    <w:basedOn w:val="Normal"/>
    <w:qFormat/>
    <w:pPr/>
    <w:rPr/>
  </w:style>
  <w:style w:type="paragraph" w:styleId="151">
    <w:name w:val="Колонтитул15"/>
    <w:basedOn w:val="Normal"/>
    <w:qFormat/>
    <w:pPr/>
    <w:rPr/>
  </w:style>
  <w:style w:type="paragraph" w:styleId="161">
    <w:name w:val="Колонтитул16"/>
    <w:basedOn w:val="Normal"/>
    <w:qFormat/>
    <w:pPr/>
    <w:rPr/>
  </w:style>
  <w:style w:type="paragraph" w:styleId="171">
    <w:name w:val="Колонтитул17"/>
    <w:basedOn w:val="Normal"/>
    <w:qFormat/>
    <w:pPr/>
    <w:rPr/>
  </w:style>
  <w:style w:type="paragraph" w:styleId="181">
    <w:name w:val="Колонтитул18"/>
    <w:basedOn w:val="Normal"/>
    <w:qFormat/>
    <w:pPr/>
    <w:rPr/>
  </w:style>
  <w:style w:type="paragraph" w:styleId="191">
    <w:name w:val="Колонтитул19"/>
    <w:basedOn w:val="Normal"/>
    <w:qFormat/>
    <w:pPr/>
    <w:rPr/>
  </w:style>
  <w:style w:type="paragraph" w:styleId="20">
    <w:name w:val="Колонтитул20"/>
    <w:basedOn w:val="Normal"/>
    <w:qFormat/>
    <w:pPr/>
    <w:rPr/>
  </w:style>
  <w:style w:type="paragraph" w:styleId="212">
    <w:name w:val="Колонтитул21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110" w:customStyle="1">
    <w:name w:val="Гиперссылка11"/>
    <w:basedOn w:val="116"/>
    <w:link w:val="15"/>
    <w:qFormat/>
    <w:pPr/>
    <w:rPr>
      <w:color w:themeColor="hyperlink" w:val="0563C1"/>
      <w:u w:val="single"/>
    </w:rPr>
  </w:style>
  <w:style w:type="paragraph" w:styleId="TOC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TOC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6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20" w:customStyle="1">
    <w:name w:val="Верхний колонтитул Знак1"/>
    <w:basedOn w:val="117"/>
    <w:link w:val="Style12"/>
    <w:qFormat/>
    <w:pPr/>
    <w:rPr/>
  </w:style>
  <w:style w:type="paragraph" w:styleId="Footnote11" w:customStyle="1">
    <w:name w:val="Footnote11"/>
    <w:link w:val="Footnote1"/>
    <w:qFormat/>
    <w:pPr>
      <w:widowControl/>
      <w:suppressAutoHyphens w:val="true"/>
      <w:bidi w:val="0"/>
      <w:spacing w:lineRule="auto" w:line="264" w:before="0" w:after="160"/>
      <w:ind w:firstLine="851"/>
      <w:jc w:val="both"/>
    </w:pPr>
    <w:rPr>
      <w:rFonts w:ascii="XO Thames" w:hAnsi="XO Thames" w:eastAsia="Tahoma" w:cs="Lohit Devanagari"/>
      <w:color w:val="000000"/>
      <w:kern w:val="0"/>
      <w:sz w:val="22"/>
      <w:szCs w:val="20"/>
      <w:lang w:val="ru-RU" w:eastAsia="zh-CN" w:bidi="hi-IN"/>
    </w:rPr>
  </w:style>
  <w:style w:type="paragraph" w:styleId="1113" w:customStyle="1">
    <w:name w:val="Заголовок 1 Знак1"/>
    <w:link w:val="16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32"/>
      <w:szCs w:val="20"/>
      <w:lang w:val="ru-RU" w:eastAsia="zh-CN" w:bidi="hi-IN"/>
    </w:rPr>
  </w:style>
  <w:style w:type="paragraph" w:styleId="TOC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14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511" w:customStyle="1">
    <w:name w:val="Заголовок 5 Знак1"/>
    <w:link w:val="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2"/>
      <w:szCs w:val="20"/>
      <w:lang w:val="ru-RU" w:eastAsia="zh-CN" w:bidi="hi-IN"/>
    </w:rPr>
  </w:style>
  <w:style w:type="paragraph" w:styleId="512" w:customStyle="1">
    <w:name w:val="Оглавление 5 Знак1"/>
    <w:link w:val="5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/>
      <w:sz w:val="28"/>
    </w:rPr>
  </w:style>
  <w:style w:type="paragraph" w:styleId="TOC5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hanging="0" w:left="80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213" w:customStyle="1">
    <w:name w:val="Заголовок 2 Знак1"/>
    <w:link w:val="2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8"/>
      <w:szCs w:val="20"/>
      <w:lang w:val="ru-RU" w:eastAsia="zh-CN" w:bidi="hi-IN"/>
    </w:rPr>
  </w:style>
  <w:style w:type="paragraph" w:styleId="ConsPlusNormal1" w:customStyle="1">
    <w:name w:val="ConsPlusNormal1"/>
    <w:link w:val="ConsPlusNormal"/>
    <w:qFormat/>
    <w:pPr>
      <w:widowControl w:val="false"/>
      <w:suppressAutoHyphens w:val="true"/>
      <w:bidi w:val="0"/>
      <w:spacing w:lineRule="auto" w:line="264"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DefaultParagraphFont1" w:customStyle="1">
    <w:name w:val="Default Paragraph Font1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Tahoma" w:cs="Lohit Devanagari" w:asciiTheme="minorHAnsi" w:hAnsiTheme="minorHAnsi"/>
      <w:color w:val="000000"/>
      <w:kern w:val="0"/>
      <w:sz w:val="22"/>
      <w:szCs w:val="20"/>
      <w:lang w:val="ru-RU" w:eastAsia="zh-CN" w:bidi="hi-IN"/>
    </w:rPr>
  </w:style>
  <w:style w:type="paragraph" w:styleId="Subtitle">
    <w:name w:val="Subtitle"/>
    <w:next w:val="Normal"/>
    <w:uiPriority w:val="11"/>
    <w:qFormat/>
    <w:pPr>
      <w:widowControl/>
      <w:suppressAutoHyphens w:val="true"/>
      <w:bidi w:val="0"/>
      <w:spacing w:lineRule="auto" w:line="264" w:before="0" w:after="160"/>
      <w:jc w:val="both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412" w:customStyle="1">
    <w:name w:val="Заголовок 4 Знак1"/>
    <w:link w:val="4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b/>
      <w:color w:val="000000"/>
      <w:kern w:val="0"/>
      <w:sz w:val="24"/>
      <w:szCs w:val="20"/>
      <w:lang w:val="ru-RU" w:eastAsia="zh-CN" w:bidi="hi-IN"/>
    </w:rPr>
  </w:style>
  <w:style w:type="paragraph" w:styleId="811" w:customStyle="1">
    <w:name w:val="Оглавление 8 Знак1"/>
    <w:link w:val="8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color w:val="000000"/>
      <w:kern w:val="0"/>
      <w:sz w:val="28"/>
      <w:szCs w:val="20"/>
      <w:lang w:val="ru-RU" w:eastAsia="zh-CN" w:bidi="hi-IN"/>
    </w:rPr>
  </w:style>
  <w:style w:type="paragraph" w:styleId="122" w:customStyle="1">
    <w:name w:val="Подзаголовок Знак1"/>
    <w:link w:val="Style15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ahoma" w:cs="Lohit Devanagari"/>
      <w:i/>
      <w:color w:val="000000"/>
      <w:kern w:val="0"/>
      <w:sz w:val="24"/>
      <w:szCs w:val="20"/>
      <w:lang w:val="ru-RU" w:eastAsia="zh-CN" w:bidi="hi-IN"/>
    </w:rPr>
  </w:style>
  <w:style w:type="paragraph" w:styleId="Style18" w:customStyle="1">
    <w:name w:val="Содержимое врезки"/>
    <w:basedOn w:val="Normal"/>
    <w:qFormat/>
    <w:pPr/>
    <w:rPr/>
  </w:style>
  <w:style w:type="paragraph" w:styleId="23" w:customStyle="1">
    <w:name w:val="Содержимое таблицы2"/>
    <w:basedOn w:val="Normal"/>
    <w:qFormat/>
    <w:pPr>
      <w:widowControl w:val="false"/>
      <w:suppressLineNumbers/>
    </w:pPr>
    <w:rPr/>
  </w:style>
  <w:style w:type="paragraph" w:styleId="24" w:customStyle="1">
    <w:name w:val="Заголовок таблицы2"/>
    <w:basedOn w:val="23"/>
    <w:qFormat/>
    <w:pPr>
      <w:jc w:val="center"/>
    </w:pPr>
    <w:rPr>
      <w:b/>
      <w:bCs/>
    </w:rPr>
  </w:style>
  <w:style w:type="paragraph" w:styleId="33" w:customStyle="1">
    <w:name w:val="Содержимое таблицы3"/>
    <w:basedOn w:val="Normal"/>
    <w:qFormat/>
    <w:pPr>
      <w:widowControl w:val="false"/>
      <w:suppressLineNumbers/>
    </w:pPr>
    <w:rPr/>
  </w:style>
  <w:style w:type="paragraph" w:styleId="34" w:customStyle="1">
    <w:name w:val="Заголовок таблицы3"/>
    <w:basedOn w:val="33"/>
    <w:qFormat/>
    <w:pPr>
      <w:jc w:val="center"/>
    </w:pPr>
    <w:rPr>
      <w:b/>
      <w:bCs/>
    </w:rPr>
  </w:style>
  <w:style w:type="paragraph" w:styleId="ConsPlusNormal2">
    <w:name w:val="ConsPlusNormal2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Arial" w:cs="Courier New"/>
      <w:b w:val="false"/>
      <w:i w:val="false"/>
      <w:strike w:val="false"/>
      <w:dstrike w:val="false"/>
      <w:color w:val="auto"/>
      <w:kern w:val="2"/>
      <w:sz w:val="24"/>
      <w:szCs w:val="24"/>
      <w:u w:val="none"/>
      <w:lang w:val="ru-RU" w:eastAsia="zh-CN" w:bidi="hi-IN"/>
    </w:rPr>
  </w:style>
  <w:style w:type="paragraph" w:styleId="43">
    <w:name w:val="Содержимое таблицы4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f1">
    <w:name w:val="Сетка таблицы1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27">
    <w:name w:val="Сетка таблицы2"/>
    <w:basedOn w:val="a1"/>
    <w:rPr>
      <w:sz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tileRect l="0" t="0" r="0" b="0"/>
        </a:gradFill>
      </a:fillStyleLst>
      <a:lnStyleLst>
        <a:ln w="6350">
          <a:prstDash val="solid"/>
        </a:ln>
        <a:ln w="12700">
          <a:prstDash val="solid"/>
        </a:ln>
        <a:ln w="19050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Application>LibreOffice/7.6.0.3$Linux_X86_64 LibreOffice_project/60$Build-3</Application>
  <AppVersion>15.0000</AppVersion>
  <Pages>53</Pages>
  <Words>4929</Words>
  <Characters>30866</Characters>
  <CharactersWithSpaces>34505</CharactersWithSpaces>
  <Paragraphs>1843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2023-12-15T01:15:00Z</dcterms:created>
  <dc:creator/>
  <dc:description/>
  <dc:language>ru-RU</dc:language>
  <cp:lastModifiedBy/>
  <cp:lastPrinted>2023-12-06T13:12:00Z</cp:lastPrinted>
  <dcterms:modified xsi:type="dcterms:W3CDTF">2023-12-22T14:53:34Z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