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af0"/>
        <w:tblW w:w="9692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92"/>
      </w:tblGrid>
      <w:tr>
        <w:trPr/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внесении изменений в постановление Правительства Камчатского края от 16.11.2023 № 568-П «Об утверждении Положения о системе управления государственными программами Камчатского края»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16.11.2023 № 568-П «Об утверждении Положения о системе управления государственными программами Камчатского края»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2 после слова «Положением» дополнить словами «, за исключением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частью 2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position w:val="0"/>
          <w:sz w:val="28"/>
          <w:sz w:val="28"/>
          <w:vertAlign w:val="baseline"/>
        </w:rPr>
        <w:t>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</w:rPr>
        <w:t>«2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position w:val="0"/>
          <w:sz w:val="28"/>
          <w:sz w:val="28"/>
          <w:vertAlign w:val="baseline"/>
        </w:rPr>
        <w:t>. Определить, что разработка и реализация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осуществляется в соответствии с Положением с учетом особенностей установленных: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</w:rPr>
        <w:t>1) Указами Президента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</w:rPr>
        <w:t>2) правовыми актами Правительства Российской Федерации.».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0"/>
          <w:sz w:val="28"/>
          <w:sz w:val="28"/>
          <w:vertAlign w:val="baseline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1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78"/>
        <w:gridCol w:w="3544"/>
        <w:gridCol w:w="2559"/>
      </w:tblGrid>
      <w:tr>
        <w:trPr>
          <w:trHeight w:val="1015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link w:val="2"/>
    <w:uiPriority w:val="39"/>
    <w:pPr>
      <w:widowControl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LibreOffice/7.6.0.3$Linux_X86_64 LibreOffice_project/60$Build-3</Application>
  <AppVersion>15.0000</AppVersion>
  <Pages>1</Pages>
  <Words>164</Words>
  <Characters>1188</Characters>
  <CharactersWithSpaces>1336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2023-12-18T13:49:11Z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