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OpenSymbol" w:hAnsi="OpenSymbol" w:eastAsia="OpenSymbol" w:cs="OpenSymbol"/>
        </w:rPr>
      </w:pPr>
      <w:r>
        <w:rPr>
          <w:rFonts w:eastAsia="OpenSymbol" w:cs="OpenSymbol" w:ascii="OpenSymbol" w:hAnsi="OpenSymbo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rPr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75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rPr/>
        <w:tc>
          <w:tcPr>
            <w:tcW w:w="97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01.07.2021 № 277-П 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 277-П,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78"/>
        <w:gridCol w:w="478"/>
        <w:gridCol w:w="3665"/>
        <w:gridCol w:w="480"/>
        <w:gridCol w:w="1883"/>
        <w:gridCol w:w="484"/>
        <w:gridCol w:w="1690"/>
      </w:tblGrid>
      <w:tr>
        <w:trPr/>
        <w:tc>
          <w:tcPr>
            <w:tcW w:w="477" w:type="dxa"/>
            <w:tcBorders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537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537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3665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color w:val="FFFFFF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color w:val="FFFFFF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Изменения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 277-П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(далее – Программа)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1. В паспорте Программы: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1)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Пункты 33–35 позиции «Целевые показатели (индикаторы) Программы»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ab/>
        <w:t>«33) 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2022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ab/>
        <w:t>34) 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2022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  <w:tab/>
      </w:r>
      <w:r>
        <w:rPr>
          <w:rFonts w:ascii="Times New Roman" w:hAnsi="Times New Roman"/>
          <w:sz w:val="28"/>
          <w:szCs w:val="28"/>
        </w:rPr>
        <w:t>35) объем отгруженных товаров собственного производства, выполненных собственными силами работ и услуг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в рамках Соглашения, заключенного с Минпромторгом России в 2022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в рамках Соглашения, заключенного с Минпромторгом России в 2023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оборудования;»;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2) в позиции «Этапы и сроки реализации Программы» цифры «2025» заменить цифрами «2026»;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3) позицию «Объемы бюджетных ассигнований Программы» изложить в следующей редакции:</w:t>
      </w:r>
    </w:p>
    <w:tbl>
      <w:tblPr>
        <w:tblW w:w="9700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5"/>
        <w:gridCol w:w="6584"/>
      </w:tblGrid>
      <w:tr>
        <w:trPr/>
        <w:tc>
          <w:tcPr>
            <w:tcW w:w="3115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ассигнований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84" w:type="dxa"/>
            <w:tcBorders/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29 320 457,56019 тыс. рублей, в том числе за счет средств: федерального бюджета (по согласованию)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615 656,80000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285 886,70000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159 160,40000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99 767,90000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70 745,30000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96,50000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2026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краевого бюджета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12 123 465,26908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5 832 125,60758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3 958 661,51983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786 235,25727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772 962,88000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773 480,00440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2026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местных бюджетов (по согласованию)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25 000,00000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25 000,00000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2026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внебюджетных источников (по согласованию)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1 347 550,00000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400 000,00000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375 550,00000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299 100,00000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269 100,00000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3 800,00000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2026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безвозмездных поступлений от негосударственных организаций (по согласованию)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15 208 785,49111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10 348 952,80795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4 859 832,68316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2026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рублей».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ab/>
        <w:t>2. В паспорте подпрограммы 3 "Развитие промышленности, внешнеэкономической деятельности, конкуренции":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ab/>
        <w:t>1) Пункты 7–9 позиции «Целевые показатели (индикаторы) Подпрограммы 3»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ab/>
        <w:t>«7) 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2022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ab/>
        <w:t>8) 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2022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ab/>
        <w:t>9) объем отгруженных товаров собственного производства, выполненных собственными силами работ и услуг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2022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докапитализации регионального фонда развития промышленности;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–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оборудования;»;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2) в позиции «Этапы и сроки реализации Программы» цифры «2025» заменить цифрами «2026»;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ab/>
        <w:t>3) позицию «Объемы бюджетных ассигнований Программы» изложить в следующей редакции:</w:t>
      </w:r>
    </w:p>
    <w:tbl>
      <w:tblPr>
        <w:tblW w:w="9700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865"/>
      </w:tblGrid>
      <w:tr>
        <w:trPr/>
        <w:tc>
          <w:tcPr>
            <w:tcW w:w="2834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3</w:t>
            </w:r>
          </w:p>
        </w:tc>
        <w:tc>
          <w:tcPr>
            <w:tcW w:w="6865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3 составляет 117 817,23763 тыс. рублей, в том числе за счет средств: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30 639,20000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102,50000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22 567,10000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7 774,90000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4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98,20000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96,50000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2026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краевого бюджета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87 178,03763 тыс. рублей, из них по годам: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29 418,60596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28 646,42727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9 973,12840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9 569,08800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9 570,78800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2026 год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shd w:fill="auto" w:val="clear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 0,00000 тыс. рублей».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3. В таблице приложения 2 к Программе: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1) В графе 5 строки 3.2 цифры «2025» заменить цифрами «2026»;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2) В графе 8 строки 3.2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слово «Показатель» заменить словом «Показатели»,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цифры «3.4» заменить цифрами «3.8.3, 3.9.3, 3.10.3»;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3) В графе 5 строки 3.7 цифры «2025» заменить цифрами «2026»;</w:t>
      </w:r>
    </w:p>
    <w:p>
      <w:p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4) В графе 8 строки 3.7 цифры «3.8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shd w:fill="auto" w:val="clear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3.10» заменить цифрами «3.8.1, 3.8.2, 3.9.1, 3.9.2, 3.10.1, 3.10.2».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1" w:gutter="0" w:header="567" w:top="1191" w:footer="0" w:bottom="1134"/>
          <w:pgNumType w:fmt="decimal"/>
          <w:formProt w:val="false"/>
          <w:titlePg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4. Приложения 1 и 3 к Программе изложить в редакции согласно приложению к настоящему приложению.</w:t>
      </w:r>
      <w:r>
        <w:br w:type="page"/>
      </w:r>
    </w:p>
    <w:p>
      <w:pPr>
        <w:pStyle w:val="ConsPlusNormal"/>
        <w:numPr>
          <w:ilvl w:val="0"/>
          <w:numId w:val="0"/>
        </w:numPr>
        <w:ind w:left="0" w:right="0" w:hanging="0"/>
        <w:jc w:val="lef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Приложение к приложению к постановлению </w:t>
      </w:r>
    </w:p>
    <w:p>
      <w:pPr>
        <w:pStyle w:val="ConsPlusNormal"/>
        <w:numPr>
          <w:ilvl w:val="0"/>
          <w:numId w:val="0"/>
        </w:numPr>
        <w:ind w:left="0" w:right="0" w:hanging="0"/>
        <w:jc w:val="lef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Правительства Камчатского края</w:t>
      </w:r>
    </w:p>
    <w:p>
      <w:pPr>
        <w:pStyle w:val="ConsPlusNormal"/>
        <w:numPr>
          <w:ilvl w:val="0"/>
          <w:numId w:val="0"/>
        </w:numPr>
        <w:ind w:left="0" w:right="0" w:hanging="0"/>
        <w:jc w:val="lef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от  </w:t>
      </w:r>
      <w:r>
        <w:rPr>
          <w:rFonts w:ascii="Times New Roman" w:hAnsi="Times New Roman"/>
          <w:color w:val="FFFFFF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FFFFFF"/>
          <w:kern w:val="0"/>
          <w:sz w:val="28"/>
          <w:szCs w:val="20"/>
          <w:lang w:val="ru-RU" w:eastAsia="ru-RU" w:bidi="ar-SA"/>
        </w:rPr>
        <w:t>[R</w:t>
      </w:r>
      <w:r>
        <w:rPr>
          <w:rFonts w:eastAsia="Times New Roman" w:cs="Times New Roman" w:ascii="Times New Roman" w:hAnsi="Times New Roman"/>
          <w:color w:val="FFFFFF"/>
          <w:kern w:val="0"/>
          <w:sz w:val="16"/>
          <w:szCs w:val="20"/>
          <w:lang w:val="ru-RU" w:eastAsia="ru-RU" w:bidi="ar-SA"/>
        </w:rPr>
        <w:t>EGDATESTAMP]</w:t>
      </w:r>
      <w:r>
        <w:rPr>
          <w:rFonts w:ascii="Times New Roman" w:hAnsi="Times New Roman"/>
          <w:color w:val="FFFFFF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№  </w:t>
      </w:r>
      <w:r>
        <w:rPr>
          <w:rFonts w:ascii="Times New Roman" w:hAnsi="Times New Roman"/>
          <w:color w:val="FFFF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FFFFFF"/>
          <w:kern w:val="0"/>
          <w:sz w:val="28"/>
          <w:szCs w:val="20"/>
          <w:lang w:val="ru-RU" w:eastAsia="ru-RU" w:bidi="ar-SA"/>
        </w:rPr>
        <w:t>[R</w:t>
      </w:r>
      <w:r>
        <w:rPr>
          <w:rFonts w:eastAsia="Times New Roman" w:cs="Times New Roman" w:ascii="Times New Roman" w:hAnsi="Times New Roman"/>
          <w:color w:val="FFFFFF"/>
          <w:kern w:val="0"/>
          <w:sz w:val="16"/>
          <w:szCs w:val="20"/>
          <w:lang w:val="ru-RU" w:eastAsia="ru-RU" w:bidi="ar-SA"/>
        </w:rPr>
        <w:t>EGNUMSTAMP]</w:t>
      </w:r>
    </w:p>
    <w:p>
      <w:pPr>
        <w:pStyle w:val="ConsPlusNormal"/>
        <w:numPr>
          <w:ilvl w:val="0"/>
          <w:numId w:val="0"/>
        </w:numPr>
        <w:ind w:left="0" w:right="0" w:hanging="0"/>
        <w:jc w:val="lef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«Приложение 1 к Программе</w:t>
      </w:r>
    </w:p>
    <w:p>
      <w:pPr>
        <w:pStyle w:val="ConsPlusNormal"/>
        <w:numPr>
          <w:ilvl w:val="0"/>
          <w:numId w:val="0"/>
        </w:numPr>
        <w:ind w:left="0" w:right="0" w:hanging="0"/>
        <w:jc w:val="lef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outline w:val="false"/>
          <w:sz w:val="28"/>
          <w:szCs w:val="28"/>
        </w:rPr>
      </w:pPr>
      <w:r>
        <w:rPr>
          <w:rFonts w:ascii="Times New Roman" w:hAnsi="Times New Roman"/>
          <w:outline w:val="false"/>
          <w:sz w:val="28"/>
          <w:szCs w:val="28"/>
        </w:rPr>
        <w:t>Сведения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outline w:val="false"/>
          <w:sz w:val="28"/>
          <w:szCs w:val="28"/>
        </w:rPr>
      </w:pPr>
      <w:r>
        <w:rPr>
          <w:rFonts w:ascii="Times New Roman" w:hAnsi="Times New Roman"/>
          <w:outline w:val="false"/>
          <w:sz w:val="28"/>
          <w:szCs w:val="28"/>
        </w:rPr>
        <w:t>о показателях (индикаторах) государственной программы Камчатского края «Развитие экономики и внешнеэкономической деятельности Камчатского края» и подпрограмм государственной программы и их значениях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67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3"/>
        <w:gridCol w:w="6223"/>
        <w:gridCol w:w="1583"/>
        <w:gridCol w:w="1250"/>
        <w:gridCol w:w="1252"/>
        <w:gridCol w:w="1254"/>
        <w:gridCol w:w="1248"/>
        <w:gridCol w:w="1185"/>
        <w:gridCol w:w="1127"/>
      </w:tblGrid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п/п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Показатель (индикатор) (наименование)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 изм.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2026</w:t>
            </w:r>
          </w:p>
        </w:tc>
      </w:tr>
    </w:tbl>
    <w:p>
      <w:pPr>
        <w:pStyle w:val="Style17"/>
        <w:spacing w:lineRule="auto" w:line="240" w:before="0" w:after="0"/>
        <w:rPr>
          <w:color w:val="FFFFFF"/>
          <w:sz w:val="4"/>
          <w:szCs w:val="4"/>
          <w:highlight w:val="none"/>
          <w:shd w:fill="FFFFFF" w:val="clear"/>
        </w:rPr>
      </w:pPr>
      <w:r>
        <w:rPr>
          <w:color w:val="FFFFFF"/>
          <w:sz w:val="4"/>
          <w:szCs w:val="4"/>
          <w:shd w:fill="FFFFFF" w:val="clear"/>
        </w:rPr>
        <w:t>про</w:t>
      </w:r>
    </w:p>
    <w:tbl>
      <w:tblPr>
        <w:tblW w:w="15767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3"/>
        <w:gridCol w:w="6223"/>
        <w:gridCol w:w="1583"/>
        <w:gridCol w:w="1250"/>
        <w:gridCol w:w="1252"/>
        <w:gridCol w:w="1254"/>
        <w:gridCol w:w="1248"/>
        <w:gridCol w:w="1185"/>
        <w:gridCol w:w="1127"/>
      </w:tblGrid>
      <w:tr>
        <w:trPr>
          <w:tblHeader w:val="true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1.</w:t>
            </w:r>
          </w:p>
        </w:tc>
        <w:tc>
          <w:tcPr>
            <w:tcW w:w="1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1 «Формирование благоприятной инвестиционной среды»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1.1.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млн. 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51 617,00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54 291,00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95 136,90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114 417,90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140 234,80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1.2.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инвестиций в основной капитал на душу населения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161 512,39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171 431,19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307 677,31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371 215,51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455 544,44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1.3.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инвестиций в основной капитал в валовом региональном продукте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28,2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31,7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1.4.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внебюджетных средств в общем объеме инвестиций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72,0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73,0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73,5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74,0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1.5.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место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</w:t>
            </w:r>
          </w:p>
        </w:tc>
        <w:tc>
          <w:tcPr>
            <w:tcW w:w="1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2 «Развитие субъектов малого и среднего предпринимательства»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тыс. человек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44,290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44,604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50,800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51,800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самозанятых граждан, зафиксировавших свой статус, с учетом введения налогового режима для самозанятых (нарастающим итогом)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тыс. человек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1,999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2,443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2,886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3,107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микрозаймов по льготной процентной ставке, выданных государственной микрофинансовой организацией самозанятым гражданам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рублей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самозанятых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2.6.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2391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2499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2728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2.7.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(ежегодно)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млрд рублей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0,0456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0,0274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0,0287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0,0299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2.8.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действующих микрозаймов, предоставленных по льготной процентной ставке начинающим предпринимателям государственными микрофинансовыми организациями (ежегодно)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2.9.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уникальных социальных предприятий, включенных в реестр социальных предпринимателей, и количество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в виде грантов, накопленным итогом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2.10.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уникальных граждан, желающих вести бизнес, начинающих и действующих предпринимателей, получивших услуги (ежегодно)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763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действующих микрозаймов, выданных микрофинансовыми организациями субъектам малого и среднего предпринимательства (ежегодно)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487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рублей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734,2479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749,6763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993,1462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1002,0031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млрд рублей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0,105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субъектов малого и среднего предпринимательства, ставших резидентами созданных промышленных парков, технопарков (нарастающим итогом)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138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2.16.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млрд долларов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0,0054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0,0039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0,0034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2.17.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2.18.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действующих иных займов, выданных Микрокредитной компанией Камчатский государственный фонд поддержки предпринимательства субъектам малого и среднего предпринимательства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2.19.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предоставленного имущества (в аренду или на иных правах) из числа объектов, включенных в перечни государственного и муниципального имущества, предназначенного для субъектов МСП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2.20.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субъектов малого и среднего предпринимательства от общего количества, обеспеченных имуществом за счет дополнения общего количества объектов в перечнях государственного и муниципального имущества, утверждаемых Камчатским краем и муниципальными образованиями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2.21.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субъектов малого и среднего предпринимательства в Камчатском крае, получивших льготный доступ к производственным площадям, помещениям и оборудованию бизнес-инкубатора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2.22.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рабочих мест, созданных субъектами малого и среднего предпринимательства в Камчатском крае, получившими льготный доступ к производственным площадям, помещениям и оборудованию бизнес-инкубатора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</w:t>
            </w:r>
          </w:p>
        </w:tc>
        <w:tc>
          <w:tcPr>
            <w:tcW w:w="1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3 «Развитие промышленности, внешнеэкономической деятельности, конкуренции»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экспорта Камчатского края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млн. долл. США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900,00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945,00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1 000,00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1 100,00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экспортеров Камчатского края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юридических лиц и индивидуальных предпринимателей, получивших статус резидента территории опережающего социально-экономического развития "Камчатка"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действующих промышленных парков или промышленных площадок на территории Камчатского края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подготовленных управленческих кадров для организаций народного хозяйства Камчатского края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чел.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3.6.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займов, предоставленных промышленным предприятиям Камчатского края, в том числе относящимся к сфере деятельности Минпромторга России (ежегодно)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1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3.7.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субъектов деятельности в сфере промышленности, получивших финансовую поддержку (ежегодно)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3.8.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3.8.1.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2022 году, в целях докапитализации регионального фонда развития промышленности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2,4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2,5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2,54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3.8.2.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2023 году, в целях докапитализации регионального фонда развития промышленности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15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20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25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3.8.3.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3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4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3.9.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3.9.1.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2022 году, в целях докапитализации регионального фонда развития промышленности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8,2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12,8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17,4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3.9.2.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2023 году, в целях докапитализации регионального фонда развития промышленности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30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35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3.9.3.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5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60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3.10.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отгруженных товаров собственного производства, выполненных собственными силами работ и услуг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итогом):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3.10.1.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2022 году, в целях докапитализации регионального фонда развития промышленности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14,4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21,6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29,4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3.10.2.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2023 году, в целях докапитализации регионального фонда развития промышленности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15</w:t>
            </w:r>
          </w:p>
        </w:tc>
      </w:tr>
      <w:tr>
        <w:trPr/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18"/>
                <w:szCs w:val="18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18"/>
                <w:szCs w:val="18"/>
                <w:shd w:fill="auto" w:val="clear"/>
              </w:rPr>
              <w:t>3.10.3.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 рамках Соглашения, заключенного с Минпромторгом России в 2023 году, в целях возмещения части затрат промышленных предприятий, связанных с приобретением нового оборудования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20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  <w:lang w:val="en-US"/>
              </w:rPr>
              <w:t>3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3.11.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внебюджетных инвестиций в основной капитал управляющих компаний индустриальных (промышленных) парков и резидентов индустриальных (промышленных) парков (нарастающим итогом)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</w:t>
            </w:r>
          </w:p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рублей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3.12.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промышленных предприятий, ставших резидентами индустриальных (промышленных парков) (нарастающим итогом)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</w:t>
            </w:r>
          </w:p>
        </w:tc>
        <w:tc>
          <w:tcPr>
            <w:tcW w:w="1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4 «Обеспечение доступности энергетических ресурсов»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5.</w:t>
            </w:r>
          </w:p>
        </w:tc>
        <w:tc>
          <w:tcPr>
            <w:tcW w:w="1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5 «Снижение административных барьеров, повышение качества предоставления и доступности государственных услуг в Камчатском крае»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5.1.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Уровень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5.2.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5.3.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респондентов, отметивших положительную тенденцию в области повышения качества контрольно-надзорной деятельности органов в Камчатском крае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5.4.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массовых социально значимых государственных и муниципальных услуг доступных в электронном виде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</w:t>
            </w:r>
          </w:p>
        </w:tc>
        <w:tc>
          <w:tcPr>
            <w:tcW w:w="1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7 «Повышение производительности труда в Камчатском крае»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руководителей, обученных по программе управленческих навыков для повышения производительности труда (нарастающим итогом)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человек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предприятий-участников, вовлеченных в национальный проект через получение адресной поддержки (нарастающим итогом)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 (нарастающим итогом)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человек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326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предприятий, достигших ежегодный 5%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процент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Доля исполнительных органов Камчатского края, внедривших принципы процессного управления в свою деятельность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процент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6.6.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Удовлетворенность предприятий работой региональных центров компетенций (доля предприятий, удовлетворенных работой названных центров)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процент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</w:t>
            </w:r>
          </w:p>
        </w:tc>
        <w:tc>
          <w:tcPr>
            <w:tcW w:w="1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8 «Совершенствование условий для развития торговли и обеспечения защиты прав потребителей в Камчатском крае»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хозяйствующих субъектов, получивших компенсацию части транспортных расходов на доставку товаров в торговые объекты населенных пунктов Камчатского края (в рамках "северного завоза")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реализованных проектов по развитию объектов многоформатной торговли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органов публичной власти и организаций, входящих в систему защиты прав потребителей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7.4.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консультаций в сфере защиты прав потребителей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4 050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4 150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7.5.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проведенных мероприятий, направленных на повышение потребительской грамотности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8.</w:t>
            </w:r>
          </w:p>
        </w:tc>
        <w:tc>
          <w:tcPr>
            <w:tcW w:w="15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9 «Обеспечение эффективного функционирования территории опережающего развития «Камчатка»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8.1.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организаций, заключивших соглашения об осуществлении деятельности на территории опережающего развития "Камчатка"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8.2.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инвестиций в основной капитал, осуществленных в рамках реализации проектов на территории опережающего развития «Камчатка»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млн руб.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18 908,7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8 160,9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7 594,9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8.3.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Количество рабочих мест, созданных в рамках реализации проектов на территории опережающего развития "Камчатка"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ru-RU"/>
              </w:rPr>
              <w:t>–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567" w:right="567" w:gutter="0" w:header="567" w:top="1191" w:footer="567" w:bottom="889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3 к Программе</w:t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bookmarkStart w:id="3" w:name="P1347"/>
      <w:bookmarkEnd w:id="3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Финансовое обеспечение </w:t>
      </w:r>
    </w:p>
    <w:p>
      <w:pPr>
        <w:pStyle w:val="ConsPlusTitle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реализации государственной программы Камчатского края «Развитие экономики и внешнеэкономической деятельности Камчатского края»</w:t>
      </w:r>
    </w:p>
    <w:p>
      <w:pPr>
        <w:pStyle w:val="ConsPlusTitle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ConsPlusNormal"/>
        <w:spacing w:before="0" w:after="1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5704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2151"/>
        <w:gridCol w:w="1458"/>
        <w:gridCol w:w="1330"/>
        <w:gridCol w:w="1482"/>
        <w:gridCol w:w="1597"/>
        <w:gridCol w:w="1445"/>
        <w:gridCol w:w="1407"/>
        <w:gridCol w:w="1429"/>
        <w:gridCol w:w="1373"/>
        <w:gridCol w:w="1462"/>
      </w:tblGrid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п/п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Наименование Программы / подпрограммы / мероприятия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Код бюджетной классификации</w:t>
            </w:r>
          </w:p>
        </w:tc>
        <w:tc>
          <w:tcPr>
            <w:tcW w:w="10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Объем средств на реализацию Программы (тыс. руб.)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ГРБС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2021 год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2022 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2023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2024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2025 год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2026 год</w:t>
            </w:r>
          </w:p>
        </w:tc>
      </w:tr>
    </w:tbl>
    <w:p>
      <w:pPr>
        <w:pStyle w:val="Style17"/>
        <w:spacing w:lineRule="auto" w:line="240" w:before="0" w:after="0"/>
        <w:rPr>
          <w:color w:val="FFFFFF"/>
          <w:sz w:val="4"/>
          <w:szCs w:val="4"/>
        </w:rPr>
      </w:pPr>
      <w:r>
        <w:rPr>
          <w:color w:val="FFFFFF"/>
          <w:sz w:val="4"/>
          <w:szCs w:val="4"/>
        </w:rPr>
        <w:t>про</w:t>
      </w:r>
    </w:p>
    <w:tbl>
      <w:tblPr>
        <w:tblW w:w="15704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2150"/>
        <w:gridCol w:w="1459"/>
        <w:gridCol w:w="1330"/>
        <w:gridCol w:w="1482"/>
        <w:gridCol w:w="1597"/>
        <w:gridCol w:w="1445"/>
        <w:gridCol w:w="1407"/>
        <w:gridCol w:w="1429"/>
        <w:gridCol w:w="1373"/>
        <w:gridCol w:w="1462"/>
      </w:tblGrid>
      <w:tr>
        <w:trPr>
          <w:tblHeader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29 478 545,96897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16 891 965,11553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9 353 204,60299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1 343 160,91150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1 112 838,83455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777 376,50440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615 656,80000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285 886,70000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159 160,40000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99 767,90000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70 745,30000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96,50000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329 884,40000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19 500,00000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159 160,40000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89 624,50000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61 503,00000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96,50000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19 385,70000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10 143,40000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9 242,30000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266 386,70000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266 386,70000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12 281 553,67786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5 832 125,60758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3 958 661,51983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944 293,01150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772 993,53455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773 480,00440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1 290 221,65446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428 555,39006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430 057,17000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431 609,09440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10 468 627,06266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5 309 616,46200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3 958 661,51983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515 635,16285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342 843,00798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341 870,91000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195,81516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102,45859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93,35657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522 509,14558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522 509,14558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25 000,00000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1 347 550,00000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400 000,00000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375 550,00000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299 100,00000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269 100,00000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15 208 785,49111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10 348 952,80795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4 859 832,68316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1 «Формирование благоприятной инвестиционной среды»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297 669,95207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228 419,95207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25 750,00000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297 669,95207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228 419,95207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25 750,00000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69 250,00000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25 750,00000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228 419,95207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228 419,95207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119 899,37007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50 649,37007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25 750,00000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119 899,37007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50 649,37007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25 750,00000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69 250,00000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25 750,00000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14 250,00000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50 649,37007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50 649,37007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2.2.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177 770,58200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177 770,58200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177 770,58200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177 770,58200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177 770,58200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2 «Развитие субъектов малого и среднего предпринимательства»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2 886 062,42018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914 402,90222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886 684,86843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506 609,83337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450 303,35416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128 061,46200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528 496,20000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266 284,20000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124 575,80000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81 754,50000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55 881,70000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242 826,30000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124 575,80000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71 611,10000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46 639,40000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19 385,70000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10 143,40000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9 242,30000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266 284,20000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266 284,20000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985 016,22018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223 118,70222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386 559,06843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125 755,33337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125 321,65416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124 261,46200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761 701,70280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386 559,06843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125 652,87478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125 228,29759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124 261,46200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195,81516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102,45859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93,35657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223 118,70222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223 118,70222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25 000,00000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1 347 550,00000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400 000,00000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375 550,00000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299 100,00000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269 100,00000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450 758,23483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94 350,00000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240 000,00000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39 082,88031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38 910,54252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38 414,81200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425 758,23483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69 350,00000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240 000,00000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39 082,88031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38 910,54252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38 414,81200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356 408,23483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240 000,00000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39 082,88031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38 910,54252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38 414,81200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69 350,00000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69 350,00000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25 000,00000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25 000,00000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16 950,00000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5 550,00000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3 800,00000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I2 Региональный проект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19 757,97981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7 053,83839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7 247,37374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2 728,38384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2 728,38384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7 284,40000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1 538,30000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1 729,90000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2 008,10000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2 008,10000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5 582,30000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1 729,90000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2 008,10000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2 008,10000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1 538,30000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1 538,30000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73,57981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15,53839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17,47374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20,28384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20,28384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58,04142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17,47374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20,28384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20,28384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15,53839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15,53839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12 400,00000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5 500,00000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5 500,00000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700,00000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3.3.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I4 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221 279,21305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52 451,90091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57 925,47576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52 313,13738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54 149,29900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4 439,40000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129 711,80000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33 878,60000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38 825,40000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27 595,00000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29 412,80000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95 833,20000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38 825,40000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27 595,00000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29 412,80000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33 878,60000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33 878,60000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21 567,41305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3 573,30091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4 100,07576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4 718,13738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4 736,49900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4 439,40000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17 994,11214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4 100,07576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4 718,13738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4 736,49900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4 439,40000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3 573,30091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3 573,30091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70 000,00000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20 000,00000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20 000,00000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3.4.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I5 Региональный проект «Акселерация субъектов малого и среднего предпринимательства»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2 177 316,99249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760 547,16292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575 962,01893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408 685,43184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350 715,12880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81 407,25000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391 500,00000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230 867,30000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84 020,50000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52 151,40000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24 460,80000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141 247,00000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84 020,50000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42 008,00000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15 218,50000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19 385,70000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10 143,40000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9 242,30000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230 867,30000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230 867,30000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537 616,99249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150 179,86292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142 441,51893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81 934,03184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81 654,32880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81 407,25000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387 241,31441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142 441,51893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81 831,57325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81 560,97223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81 407,25000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195,81516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102,45859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93,35657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150 179,86292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150 179,86292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1 248 200,00000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379 500,00000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349 500,00000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274 600,00000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244 600,00000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3 «Развитие промышленности, внешнеэкономической деятельности, конкуренции»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117 817,23763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29 521,10596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51 213,52727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17 748,02840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9 667,28800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9 667,28800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30 639,20000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102,50000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22 567,10000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7 774,90000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98,20000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96,50000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30 536,70000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22 567,10000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7 774,90000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98,20000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96,50000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102,50000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102,50000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87 178,03763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29 418,60596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28 646,42727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9 973,12840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9 569,08800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9 570,78800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57 759,43167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28 646,42727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9 973,12840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9 569,08800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9 570,78800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29 418,60596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29 418,60596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4.3.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Подготовка управленческих кадров для отраслей экономики Камчатского края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762,39734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155,30304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158,03030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149,68800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149,68800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149,68800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499,70000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102,50000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104,30000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98,20000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98,20000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96,50000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397,20000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104,30000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98,20000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98,20000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96,50000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102,50000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102,50000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262,69734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52,80304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53,73030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51,48800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51,48800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53,18800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209,89430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53,73030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51,48800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51,48800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53,18800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52,80304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52,80304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4.4.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39 552,80000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39 552,80000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28 552,80000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9 517,60000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11 000,00000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11 000,00000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4.5.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Предоставление субсидий ООО «УК ТОР «Камчатка» в целях финансового обеспечения затрат, связанных с осуществлением функций по управлению территорией социально-экономического развития «Камчатка»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36 731,60292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18 365,80292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18 365,80000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36 731,60292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18 365,80292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18 365,80000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18 365,80000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18 365,80000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18 365,80292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18 365,80292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4.6.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T6 Региональный проект «Системные меры развития международной кооперации и экспорта»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4.7.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Финансовое обеспечение создания (капитализации) и (или) деятельности (докапитализации) регионального фонда развития промышленности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18 080,74040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8 080,74040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7 676,70000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7 676,70000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10 404,04040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10 000,00000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404,04040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4.8.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Реализация дополнительных мероприятий по финансовому обеспечению деятельности (докапитализации) регионального фонда развития промышленности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22 689,69697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22 689,69697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22 462,80000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22 462,80000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226,89697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226,89697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4 «Обеспечение доступности энергетических ресурсов»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23 086 494,92530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15 209 488,38302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7 877 006,54228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7 877 709,43419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4 860 535,57507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3 017 173,85912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15 208 785,49111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10 348 952,80795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4 859 832,68316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Предоставление мер государственной поддержки при осуществлении тарифообразования на электрическую энергию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23 086 494,92530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15 209 488,38302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7 877 006,54228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7 877 709,43419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4 860 535,57507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3 017 173,85912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15 208 785,49111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10 348 952,80795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4 859 832,68316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5 «Снижение административных барьеров, повышение качества предоставления и доступности государственных услуг в Камчатском крае»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2 052 524,80269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370 316,68584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391 986,46239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428 555,39006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430 057,17000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431 609,09440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2 052 524,80269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370 316,68584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391 986,46239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428 555,39006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430 057,17000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431 609,09440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762 303,14823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370 316,68584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391 986,46239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1 290 221,65446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428 555,39006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430 057,17000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431 609,09440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2 052 224,80269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370 016,68584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391 986,46239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428 555,39006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430 057,17000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431 609,09440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2 052 224,80269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370 016,68584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391 986,46239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428 555,39006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430 057,17000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431 609,09440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762 003,14823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370 016,68584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391 986,46239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1 290 221,65446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428 555,39006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430 057,17000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431 609,09440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6.3.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6 «Обеспечение реализации Программы»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713 636,15963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119 501,67742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110 618,98815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162 757,93167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160 382,26239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160 375,30000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713 636,15963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119 501,67742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110 618,98815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162 757,93167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160 382,26239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160 375,30000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672 084,27430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77 949,79209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110 618,98815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162 757,93167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160 382,26239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160 375,30000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41 551,88533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41 551,88533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Обеспечение деятельности Министерства экономического развития Камчатского края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667 654,90430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77 320,42209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110 618,98815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160 857,93167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160 382,26239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158 475,30000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667 654,90430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77 320,42209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110 618,98815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160 857,93167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160 382,26239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158 475,30000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Международная научно-практическая конференция «Региональные проблемы развития Дальнего Востока России и Арктики» («Моисеевские чтения»)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4 429,37000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629,37000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1 900,00000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1 900,00000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4 429,37000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629,37000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1 900,00000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1 900,00000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7.3.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41 551,88533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41 551,88533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41 551,88533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41 551,88533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7 «Повышение производительности труда в Камчатском крае»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102 742,60347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20 314,40900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20 694,21447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22 481,86000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27 008,76000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12 243,36000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56 521,40000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19 500,00000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12 017,50000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10 238,50000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14 765,40000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46 221,20347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814,40900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8 676,71447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12 243,36000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12 243,36000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12 243,36000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808,10000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102,70000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102,70000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102,70000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808,10000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102,70000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102,70000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102,70000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8.2.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69 909,80900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19 914,40900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13 417,50000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14 096,50000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18 623,40000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3 858,00000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56 521,40000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19 500,00000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12 017,50000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10 238,50000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14 765,40000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13 388,40900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414,40900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1 400,00000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3 858,00000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3 858,00000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3 858,00000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8.3.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Обеспечение эффективного управления процессами в исполнительных органах государственной власти Камчатского края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32 024,69447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7 176,71447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8 282,66000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8 282,66000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8 282,66000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32 024,69447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7 176,71447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8 282,66000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8 282,66000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8 282,66000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8 «Развитие торговли и условий для обеспечения защиты прав потребителей в Камчатском крае»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11 167,50000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11 167,50000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Формирование современной инфраструктуры торговли и повышение уровня доступности товаров для потребителей в Камчатском крае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11 167,50000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11 167,50000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3 722,50000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9.2.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Создание благоприятных условий для обеспечения защиты прав потребителей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Подпрограмма 9 «Обеспечение эффективного функционирования территории опережающего развития «Камчатка»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210 430,36800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175 535,36800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210 430,36800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175 535,36800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10.1.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Предоставление субсидий ООО «КРДВ Камчатка» в целях финансового обеспечения затрат, возникающих при реализации функций по управлению территорией опережающего развития «Камчатка», установленных федеральным законом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52 342,50000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52 342,50000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17 447,50000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10.2.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Финансовое обеспечение затрат, возникающих в связи с выполнением работ по созданию объектов транспортной и инженерной инфраструктуры для обеспечения территории опережающего развития «Камчатка»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Всего, в том числе: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843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158 087,86800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158 087,86800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федерального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краевого бюджета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158 087,86800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158 087,86800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местных бюджетов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государственных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внебюджетных фондов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/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за счет средств прочих внебюджетных источников</w:t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0,00000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</w:tabs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».</w:t>
      </w:r>
    </w:p>
    <w:sectPr>
      <w:headerReference w:type="default" r:id="rId7"/>
      <w:headerReference w:type="first" r:id="rId8"/>
      <w:footerReference w:type="default" r:id="rId9"/>
      <w:type w:val="nextPage"/>
      <w:pgSz w:orient="landscape" w:w="16838" w:h="11906"/>
      <w:pgMar w:left="567" w:right="567" w:gutter="0" w:header="567" w:top="1456" w:footer="0" w:bottom="567"/>
      <w:pgNumType w:fmt="decimal"/>
      <w:formProt w:val="false"/>
      <w:titlePg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overflowPunct w:val="true"/>
      <w:bidi w:val="0"/>
      <w:spacing w:lineRule="auto" w:line="264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6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15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14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link w:val="11"/>
    <w:qFormat/>
    <w:pPr>
      <w:widowControl/>
      <w:suppressAutoHyphens w:val="true"/>
      <w:overflowPunct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qFormat/>
    <w:pPr>
      <w:widowControl/>
      <w:suppressAutoHyphens w:val="true"/>
      <w:overflowPunct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Обычный1"/>
    <w:qFormat/>
    <w:rPr/>
  </w:style>
  <w:style w:type="character" w:styleId="21">
    <w:name w:val="Оглавление 2 Знак"/>
    <w:qFormat/>
    <w:rPr>
      <w:rFonts w:ascii="XO Thames" w:hAnsi="XO Thames"/>
      <w:sz w:val="28"/>
    </w:rPr>
  </w:style>
  <w:style w:type="character" w:styleId="41">
    <w:name w:val="Оглавление 4 Знак"/>
    <w:qFormat/>
    <w:rPr>
      <w:rFonts w:ascii="XO Thames" w:hAnsi="XO Thames"/>
      <w:sz w:val="28"/>
    </w:rPr>
  </w:style>
  <w:style w:type="character" w:styleId="Style9">
    <w:name w:val="Верхний колонтитул Знак"/>
    <w:basedOn w:val="11"/>
    <w:qFormat/>
    <w:rPr/>
  </w:style>
  <w:style w:type="character" w:styleId="6">
    <w:name w:val="Оглавление 6 Знак"/>
    <w:qFormat/>
    <w:rPr>
      <w:rFonts w:ascii="XO Thames" w:hAnsi="XO Thames"/>
      <w:sz w:val="28"/>
    </w:rPr>
  </w:style>
  <w:style w:type="character" w:styleId="7">
    <w:name w:val="Оглавление 7 Знак"/>
    <w:qFormat/>
    <w:rPr>
      <w:rFonts w:ascii="XO Thames" w:hAnsi="XO Thames"/>
      <w:sz w:val="28"/>
    </w:rPr>
  </w:style>
  <w:style w:type="character" w:styleId="31">
    <w:name w:val="Заголовок 3 Знак"/>
    <w:qFormat/>
    <w:rPr>
      <w:rFonts w:ascii="XO Thames" w:hAnsi="XO Thames"/>
      <w:b/>
      <w:sz w:val="26"/>
    </w:rPr>
  </w:style>
  <w:style w:type="character" w:styleId="Style10">
    <w:name w:val="Текст Знак"/>
    <w:basedOn w:val="11"/>
    <w:link w:val="PlainText"/>
    <w:qFormat/>
    <w:rPr>
      <w:rFonts w:ascii="Calibri" w:hAnsi="Calibri"/>
    </w:rPr>
  </w:style>
  <w:style w:type="character" w:styleId="32">
    <w:name w:val="Оглавление 3 Знак"/>
    <w:qFormat/>
    <w:rPr>
      <w:rFonts w:ascii="XO Thames" w:hAnsi="XO Thames"/>
      <w:sz w:val="28"/>
    </w:rPr>
  </w:style>
  <w:style w:type="character" w:styleId="51">
    <w:name w:val="Заголовок 5 Знак"/>
    <w:qFormat/>
    <w:rPr>
      <w:rFonts w:ascii="XO Thames" w:hAnsi="XO Thames"/>
      <w:b/>
      <w:sz w:val="22"/>
    </w:rPr>
  </w:style>
  <w:style w:type="character" w:styleId="12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13">
    <w:name w:val="Оглавление 1 Знак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9">
    <w:name w:val="Оглавление 9 Знак"/>
    <w:qFormat/>
    <w:rPr>
      <w:rFonts w:ascii="XO Thames" w:hAnsi="XO Thames"/>
      <w:sz w:val="28"/>
    </w:rPr>
  </w:style>
  <w:style w:type="character" w:styleId="8">
    <w:name w:val="Оглавление 8 Знак"/>
    <w:qFormat/>
    <w:rPr>
      <w:rFonts w:ascii="XO Thames" w:hAnsi="XO Thames"/>
      <w:sz w:val="28"/>
    </w:rPr>
  </w:style>
  <w:style w:type="character" w:styleId="52">
    <w:name w:val="Оглавление 5 Знак"/>
    <w:qFormat/>
    <w:rPr>
      <w:rFonts w:ascii="XO Thames" w:hAnsi="XO Thames"/>
      <w:sz w:val="28"/>
    </w:rPr>
  </w:style>
  <w:style w:type="character" w:styleId="Style12">
    <w:name w:val="Подзаголовок Знак"/>
    <w:qFormat/>
    <w:rPr>
      <w:rFonts w:ascii="XO Thames" w:hAnsi="XO Thames"/>
      <w:i/>
      <w:sz w:val="24"/>
    </w:rPr>
  </w:style>
  <w:style w:type="character" w:styleId="Style13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>
    <w:name w:val="Название Знак"/>
    <w:qFormat/>
    <w:rPr>
      <w:rFonts w:ascii="XO Thames" w:hAnsi="XO Thames"/>
      <w:b/>
      <w:caps/>
      <w:sz w:val="40"/>
    </w:rPr>
  </w:style>
  <w:style w:type="character" w:styleId="Style15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>
    <w:name w:val="Заголовок 4 Знак"/>
    <w:qFormat/>
    <w:rPr>
      <w:rFonts w:ascii="XO Thames" w:hAnsi="XO Thames"/>
      <w:b/>
      <w:sz w:val="24"/>
    </w:rPr>
  </w:style>
  <w:style w:type="character" w:styleId="22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pPr>
      <w:widowControl/>
      <w:suppressAutoHyphens w:val="true"/>
      <w:overflowPunct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pPr>
      <w:widowControl/>
      <w:suppressAutoHyphens w:val="true"/>
      <w:overflowPunct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>
    <w:name w:val="Колонтитул"/>
    <w:qFormat/>
    <w:pPr>
      <w:widowControl/>
      <w:suppressAutoHyphens w:val="true"/>
      <w:overflowPunct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pPr>
      <w:widowControl/>
      <w:suppressAutoHyphens w:val="true"/>
      <w:overflowPunct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pPr>
      <w:widowControl/>
      <w:suppressAutoHyphens w:val="true"/>
      <w:overflowPunct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pPr>
      <w:widowControl/>
      <w:suppressAutoHyphens w:val="true"/>
      <w:overflowPunct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>
    <w:name w:val="Гиперссылка1"/>
    <w:basedOn w:val="16"/>
    <w:qFormat/>
    <w:pPr/>
    <w:rPr>
      <w:color w:val="0563C1"/>
      <w:u w:val="single"/>
    </w:rPr>
  </w:style>
  <w:style w:type="paragraph" w:styleId="Footnote1">
    <w:name w:val="Footnote"/>
    <w:qFormat/>
    <w:pPr>
      <w:widowControl/>
      <w:suppressAutoHyphens w:val="true"/>
      <w:overflowPunct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pPr>
      <w:widowControl/>
      <w:suppressAutoHyphens w:val="true"/>
      <w:overflowPunct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>
    <w:name w:val="Основной шрифт абзаца1"/>
    <w:qFormat/>
    <w:pPr>
      <w:widowControl/>
      <w:suppressAutoHyphens w:val="true"/>
      <w:overflowPunct w:val="true"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pPr>
      <w:widowControl/>
      <w:suppressAutoHyphens w:val="true"/>
      <w:overflowPunct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pPr>
      <w:widowControl/>
      <w:suppressAutoHyphens w:val="true"/>
      <w:overflowPunct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pPr>
      <w:widowControl/>
      <w:suppressAutoHyphens w:val="true"/>
      <w:overflowPunct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qFormat/>
    <w:pPr>
      <w:widowControl/>
      <w:suppressAutoHyphens w:val="true"/>
      <w:overflowPunct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qFormat/>
    <w:pPr>
      <w:widowControl/>
      <w:suppressAutoHyphens w:val="true"/>
      <w:overflowPunct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Application>LibreOffice/7.4.4.2$Linux_X86_64 LibreOffice_project/40$Build-2</Application>
  <AppVersion>15.0000</AppVersion>
  <Pages>45</Pages>
  <Words>6537</Words>
  <Characters>42983</Characters>
  <CharactersWithSpaces>47418</CharactersWithSpaces>
  <Paragraphs>2426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2023-06-30T18:46:46Z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