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По итогам 2022 года </w:t>
      </w:r>
      <w:r>
        <w:rPr>
          <w:rFonts w:cs="Times New Roman" w:ascii="Times New Roman" w:hAnsi="Times New Roman"/>
          <w:sz w:val="28"/>
          <w:szCs w:val="28"/>
        </w:rPr>
        <w:t xml:space="preserve">динамику роста показали: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сельское хозяйство,</w:t>
      </w:r>
      <w:r>
        <w:rPr>
          <w:rFonts w:cs="Times New Roman" w:ascii="Times New Roman" w:hAnsi="Times New Roman"/>
          <w:sz w:val="28"/>
          <w:szCs w:val="28"/>
        </w:rPr>
        <w:t xml:space="preserve"> строительство, розничная и оптовая торговля, общественное питание, пассажирооборот и грузооборот автомобильного транспорта. Отмечен рост инвестиций в основной капитал по итогам девяти месяцев 2022 года. Вместе с тем, наблюдается снижение объема платных услуг населению и промышленного производства.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2022 год составил 510 706,6 млн рублей, увеличившись на 11,4% к 2021 году в действующих ценах.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промышленного производства составил 84,5%. Отрицательная динамика наблюдается: в добывающей промышленности (-4,8%), в обрабатывающих производствах (-19,3%), в деятельности организаций по обеспечению электрической энергией, газом и паром; кондиционированию воздуха (-1,3%), осуществляющих водоснабжение, водоотведение, организацию сбора и утилизации отходов, ликвидации загрязнений (-25,0%).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30 311,0 млн рублей (91,6% в действующих ценах к 2021 году). Индекс производства составил 95,2%, что обусловлено снижением добычи металлических руд на 4,4%.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Снижена добыча золота. </w:t>
      </w:r>
      <w:r>
        <w:rPr>
          <w:rFonts w:cs="Times New Roman" w:ascii="Times New Roman" w:hAnsi="Times New Roman"/>
          <w:sz w:val="28"/>
          <w:szCs w:val="28"/>
        </w:rPr>
        <w:t xml:space="preserve">Временно законсервированы месторождения Агинское, Южно-Агинское и Оганчинское (АО «Камголд»).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Добыча никеля ЗАО НПК «Геотехнология» в 2022 году не производилась в связи с проведением на месторождении Шануч горно-подготовительных работ. Предприятие планирует строительство флотационной обогатительной фабрики для более глубокой переработки никелевой руды, срок ввода – 2025 год.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127 981,3 млн рублей или 100,4% по отношению к 2021 году в действующих ценах, индекс производства составил 80,7%.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80,0% к 2021 году, объем отгруженной продукции составил 120 184,7 млн рублей (98,4%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Рыбы переработанной и консервированной, ракообразных и моллюсков произведено 997,2 тыс. тонн или 86,6% к 2021 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1 405,1 тыс. тонн рыбы и морепродуктов (84,7% к 2021 году).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вылова по тихоокеанским лососям составило – 69,4%, по треске – 21,6%, по наваге – 7,0%, кальмару – 19,1%. Увеличение объемов вылова отмечается по минтаю – 111,3%, сельди – 117,5%, камбале – 110,4%.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6,2%, мяса крупного рогатого скота на 3,3%, мяса и субпродуктов пищевых домашней птицы на 4,9%, мяса и субпродуктов на 3,2%, сыров и творога на 9,4%, хлебобулочных изделий на 1,1% и кондитерских изделий на 8,3% к 2021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полуфабрикатов мясных и мясосодержащих на 6,6%, колбасных изделий на 6,4%.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Наблюдается снижение производства по ремонту и монтажу машин и оборудования (судоремонт) на 7,5%.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25 842,6 млн рублей, что составляет 123,4% к 2021 году в действующих ценах, индекс производства составил 98,7%. Производство электроэнергии снизилось на 0,5% к 2021 году и составило 2 017,2 млн кВт-ч. Сокращено потребление электроэнергии предприятиями рыбоперерабатывающей промышленности.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уменьшилось на 2,3% (произведено </w:t>
      </w:r>
      <w:r>
        <w:rPr>
          <w:rFonts w:cs="Times New Roman CYR" w:ascii="Times New Roman CYR" w:hAnsi="Times New Roman CYR"/>
          <w:sz w:val="28"/>
          <w:szCs w:val="28"/>
        </w:rPr>
        <w:t>3 523,1</w:t>
      </w:r>
      <w:r>
        <w:rPr>
          <w:rFonts w:cs="Times New Roman" w:ascii="Times New Roman" w:hAnsi="Times New Roman"/>
          <w:sz w:val="28"/>
          <w:szCs w:val="28"/>
        </w:rPr>
        <w:t xml:space="preserve"> тыс. Гкал.),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снижено потребление теплоэнергии населением.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3 740,3 млн рублей (127,4% к 2021 году в действующих ценах), индекс производства составил 75,0%. Отмечается снижение по забору, очистке и распределению воды на 24,2%, сбору и обработке сточных вод на 29,9%.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Отмечается уменьшение потребления услуг холодного водоснабжения предприятиями рыбоперерабатывающей промышленности и населением. Сбор, обработка и утилизация отходов; обработка вторичного сырья снижены на 23,1%.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Индекс производства продукции сельского хозяйства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за 2022 год составил 100,9% к 2021 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В сельск</w:t>
      </w:r>
      <w:r>
        <w:rPr>
          <w:rFonts w:cs="Times New Roman CYR" w:ascii="Times New Roman CYR" w:hAnsi="Times New Roman CYR"/>
          <w:sz w:val="28"/>
          <w:szCs w:val="28"/>
        </w:rPr>
        <w:t>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9,4 тыс. тонн (97,8% к 2021 году);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17,0%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2021 году, яйценоскость кур- несушек возросла на 6,4%;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22,7 тыс. тонн (99,9% к 2021 году). Средний надой молока на одну корову увеличился на 1,3%;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валовой сбор картофеля составил 41,1 тыс. тонн (104,9% к 2021 году);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валовой сбор овощей (открытого и закрытого грунта) составил 13,1 тыс. тонн (93,0% к 2021 году), рост урожайности овощей открытого грунта составил 34,5% к 2021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Объём инвестиций в основной капитал за 2022 год составил </w:t>
      </w:r>
      <w:r>
        <w:rPr>
          <w:rFonts w:cs="Times New Roman" w:ascii="Times New Roman" w:hAnsi="Times New Roman"/>
          <w:sz w:val="28"/>
          <w:szCs w:val="28"/>
        </w:rPr>
        <w:t>90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935</w:t>
      </w:r>
      <w:r>
        <w:rPr>
          <w:rFonts w:cs="Times New Roman" w:ascii="Times New Roman" w:hAnsi="Times New Roman"/>
          <w:sz w:val="28"/>
          <w:szCs w:val="28"/>
        </w:rPr>
        <w:t xml:space="preserve"> млн рублей или </w:t>
      </w:r>
      <w:r>
        <w:rPr>
          <w:rFonts w:cs="Times New Roman" w:ascii="Times New Roman" w:hAnsi="Times New Roman"/>
          <w:sz w:val="28"/>
          <w:szCs w:val="28"/>
        </w:rPr>
        <w:t>98,5</w:t>
      </w:r>
      <w:r>
        <w:rPr>
          <w:rFonts w:cs="Times New Roman" w:ascii="Times New Roman" w:hAnsi="Times New Roman"/>
          <w:sz w:val="28"/>
          <w:szCs w:val="28"/>
        </w:rPr>
        <w:t>% к 2021 год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(в сопоставимой оценке).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отчетном периоде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производилась реализация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перегрузочного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работ, выполненных по виду экономической деятельности «Строительство» в 2022 году составил 40 189,6 млн рублей, что в сопоставимой оценке составляет 109,2% к показателю 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Вилючинске;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Вилючинск на 260 мест.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 год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67,4 тыс. кв. метров (112,2% к аналогичному периоду 2021 году), в том числе, построенных населением за счет собственных и привлеченных средств 50,3 тыс. кв. метров (122,2% к аналогичному периоду 2021 года).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22 626,3 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22 473,6 млн рублей, в том числе по направлениям: «здравоохранение» – 2 366,9 млн рублей, «морской транспорт» – 13 501,1 млн рублей, «воздушный транспорт» – 3 460,7 млн рублей, «коммунальное строительство» – 2 726,2 млн рублей, «водное хозяйство и охрана окружающей среды» – 419,6 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на реализацию инвестиционных мероприятий предусмотрены ассигнования за счет всех источников финансирования в сумме 14 952,3 млн рублей, в том числе за счет средств федерального бюджета – 9 760,7 млн рублей (65,3%), краевого бюджета – 3 867,7 млн рублей (25,9%), Фонда содействия реформированию ЖКХ – 1 172,7 млн рублей (7,8%).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Инвестиционной программы в 2022 году осуществлялось строительство значимых для Камчатского края объектов, в том числе: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жилых домов в г. Петропавловске-Камчатском, комплекса многоквартирных жилых домов в г. Вилючинске;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Камчатской краевой больницы;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подъезда к аэровокзалу в г. Елизово от федеральной дороги А</w:t>
        <w:noBreakHyphen/>
        <w:t>401;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детского сада по ул. Вилюйская, 60 в г. Петропавловске-Камчатском на 160 мест;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строительство Камчатского театра кукол в г. Петропавловске-Камчатском на 350 мест;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спортивного зала единоборств в г. Елизово. Срок окончания работ по контракту – 10.06.2023 году. По информации Министерства спорта Камчатского края техническая готовность объекта – 87%.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В отчетном году: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завершено строительство общеобразовательной школы по проекту Рыбаков в г. Петропавловск-Камчатский на 650 мест. По информации Минстроя Камчатского края 27.10.2022 получено разрешение на ввод объекта в эксплуатацию;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 xml:space="preserve">веден в эксплуатацию Детский сад в жилом районе Рыбачий в г. Вилючинск на 260 мест;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– 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завершена реализация мероприятия «Реконструкция инфраструктуры горнолыжного комплекса Камчатского края. 2-ая очередь. Горнолыжная база «Эдельвейс», г. Петропавловск-Камчатский. Строительство системы искусственного снегообразования и системы искусственного освещения трасс, строительство скоростной канатной дороги гондольного типа и буксировочных канатных дорог. Строительство СИС – система искусственного снегообразования», 29.12.2022г. получено разрешение на ввод объекта в эксплуатацию.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Фактический объем финансирования за отчетный период составил 13 228,7 млн рублей (88,5% от предусмотренного объема), в том числе за счет средств федерального бюджета – 9 001,2 млн рублей (92,2%), за счет средств краевого бюджета – 3 330,4 млн рублей (86,1%), за счет Фонда содействия реформированию ЖКХ – 746,4 млн рублей (63,7%).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По состоянию на 01.01.2023 освоение составило 13 097,3 млн рублей (87,6 % от предусмотренного объема), в том числе за счет средств федерального бюджета – 8 876,5 млн рублей (90,9%), за счет средств краевого бюджета – 3 328,8 млн рублей (86,1%), за счет Фонда содействия реформированию ЖКХ – 741,9 млн рублей (63,3%).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2022 году сложилась следующая ситуация: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86 462,2 млн рублей (100,6% к 2021 году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8 219,0 млн рублей (101,2% к 2021 году в сопоставимых ценах);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31 535,8 млн рублей (98,2% в сопоставимых ценах к 2021 году).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74,0% общего объема потребляемых услуг. Удельный вес бытовых услуг в общем объеме платных услуг населению составил 6,1%. В 2022 году населению края было оказано бытовых услуг на 1933,7 млн рублей, что в сопоставимых ценах на 4,4% больше, чем в 2021 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2022 год составил 281,8 млн пасс.-км (101,7% к 2021 году). Число перевезенных пассажиров автомобильным транспортом составило 34,7 млн человек (101,6%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2022 год составил 25,1 млн т-км (116,3%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Объем перевезенного груза на морском транспорте составил 1 225,5 тыс. тонн (115,8% к 2021 году). Грузооборот морского транспорта увеличен на 1,6% и составил 2 934,2 млн т</w:t>
        <w:noBreakHyphen/>
        <w:t xml:space="preserve">км. В каботажном плавании рост составил 7,4%, в заграничном плавании произошло снижение на 30,5% к 2021 году. 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Среднегодовой показатель индекса потребительских цен в 2022 году составил 111,9% (112,2 % к декабрю 2021 года), в том числе 116,5% на продовольственные товары, 113,2% на непродовольственные товары и 103,7% на услуги.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Среднемесячная номинальная начисленная заработная плата одного работника за 2022 год составила 103 529,5, рублей (106,9% к 2021 году). Отмечено снижение реальной заработной платы на 4,5% к 2021 году.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Реальные денежные доходы в 2022 году сложились на уровне 94,1% к 2021 году. Реальные располагаемые денежные доходы составили 105,2%.</w:t>
      </w:r>
    </w:p>
    <w:p>
      <w:pPr>
        <w:pStyle w:val="Normal"/>
        <w:spacing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Размер среднедушевого дохода в 2022 году составил 63 930,0 руб. Соотношение среднедушевого денежного дохода с величиной прожиточного минимума – 263,4%.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Потребительские расходы сложились в размере 43 991,0 рублей в среднем на душу населения. На цели потребления населением направлено 68,8% среднедушевого дохода.</w:t>
      </w:r>
    </w:p>
    <w:p>
      <w:pPr>
        <w:pStyle w:val="Normal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01.01.2023 просроченная задолженность по заработной плате в сравнении с прошлым месяцем не изменилась и составила 3,2 млн рублей,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01.01.2023 составила 1,8 тыс. человек. Уровень регистрируемой безработицы – 1,0% (на 01.01.2022 – 1,4%). Напряженность на рынке труда составила 0,4 человека на одну заявленную работодателями вакансию (01.01.2022 г. – 0,5).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По состоянию на 1 января 2023 года численность населения с учетом итогов ВПН-2020 составила 289,0 тыс. человек. За год численность населения сократилась на 3 846 человек за счет миграционной (-2993 человека) и естественной (-853 человека) убыли населения.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2022 год составил 41 229,7 млн рублей, что меньше к 2021 году на 55,6%.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26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203,1 млн рублей; «добыча полезных ископаемых»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3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954,2 млн рублей; «обрабатывающие производства»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4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576,2 млн рублей; «транспортировка и хранение»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767,8 млн рублей; «торговля оптовая и розничная; ремонт автотранспортных средств и мотоциклов»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987,1 млн рублей; «обеспечение электрической энергией, газом и паром»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1 273,1 млн рублей; «строительство»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596,5 млн рублей; «водоснабжение, водоотведение, сбор и утилизация отходов, деятельность по ликвидации загрязнений»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8,4 млн рублей; «деятельность по операциям с недвижимым имуществом»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160,2 млн рублей; «деятельность гостиниц и предприятий общественного питания» – 45,1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26,3% от их общего числа.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Дебиторская задолженность по состоянию на 01.01.2023 года составила 108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948,3 млн рублей, что на 4,9 выше, чем на 01.01.2022 год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Удельный вес просроченной дебиторской задолженности в общем объеме задолженности на 01.01.2023 год составил 6,3%.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Суммарный объем просроченной дебиторской задолженности по сравнению с 2021 годом снизился на 16,9% и составил 6 896,5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Кредиторская задолженность по состоянию на 01.01.2023 год составила 101 551,9 млн рублей, по сравнению с 2021 годом увеличилась на 9,8%.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просроченной кредиторской задолженности в общем объеме задолженности на 01.01.2023 год составил 1,9%, суммарный объем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 xml:space="preserve">1 927,9 млн рублей.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6"/>
        <w:gridCol w:w="1245"/>
        <w:gridCol w:w="1280"/>
        <w:gridCol w:w="2268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г. в % к 2021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млн.кВт/ч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2 026,8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2 017,2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99,5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тыс.Гкал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3 605,0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3 523,1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97,7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млн.куб.м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76,2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68,5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куб.м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26,8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105,6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103,3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93,6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106,2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109,4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108,3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95,1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дкл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104,1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1 151,8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86,6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90,1</w:t>
            </w:r>
          </w:p>
        </w:tc>
      </w:tr>
    </w:tbl>
    <w:p>
      <w:pPr>
        <w:pStyle w:val="Normal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2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40"/>
        <w:gridCol w:w="1395"/>
        <w:gridCol w:w="1694"/>
        <w:gridCol w:w="2294"/>
      </w:tblGrid>
      <w:tr>
        <w:trPr>
          <w:tblHeader w:val="true"/>
          <w:trHeight w:val="5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021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г. в % к 2021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32 684,6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95,2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76,2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28 076,6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95,6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1 039,5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113,0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155 338,5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80,7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147 974,3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81,9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98,2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3 930,9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92,5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22 755,4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3 426,8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78 471,3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45 319,2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112,2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11 077,1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12 413,5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117,0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31 172,2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98,2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1 728,3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104,4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74 835,7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100,6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6 786,9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101,2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93 880,3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103 529,5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95,5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116,3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277,2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101,7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74 199,2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27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41 229,7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55,6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50 575,8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26 203,1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51,8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8 649,3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3 954,2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45,7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7 760,8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4 576,2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58,9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2 901,6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1 273,1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43,9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5,5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-62,6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596,5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2 987,1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2 645,3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1 767,8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66,8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45,1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160,2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103 840,6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108 948,3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104,9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8 298,8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6 896,5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83,1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92 492,1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101 551,9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109,8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2 312,3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1 927,9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83,4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 (среднегодовая)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312,2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93,1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-1 392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-853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61,3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2 429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-2 993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172,3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98,5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73,2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1 - январь-сентябрь 2022 года;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2 - январь-сентябрь 2022 года к январю-сентябрю 2021 года.</w:t>
      </w:r>
    </w:p>
    <w:p>
      <w:pPr>
        <w:pStyle w:val="Normal"/>
        <w:shd w:val="clear" w:color="auto" w:fill="FFFFFF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87156394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AD8F-DFA6-43CB-822E-74658F3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LibreOffice/7.4.4.2$Linux_X86_64 LibreOffice_project/40$Build-2</Application>
  <AppVersion>15.0000</AppVersion>
  <Pages>10</Pages>
  <Words>2983</Words>
  <Characters>18899</Characters>
  <CharactersWithSpaces>21600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2023-02-02T21:13:00Z</dcterms:created>
  <dc:creator>Киселев Виктор Вадимович</dc:creator>
  <dc:description/>
  <dc:language>ru-RU</dc:language>
  <cp:lastModifiedBy/>
  <cp:lastPrinted>2023-01-26T01:21:00Z</cp:lastPrinted>
  <dcterms:modified xsi:type="dcterms:W3CDTF">2023-03-14T16:37:56Z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