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99" y="0"/>
                <wp:lineTo x="-99" y="20807"/>
                <wp:lineTo x="20869" y="20807"/>
                <wp:lineTo x="20869" y="0"/>
                <wp:lineTo x="-99" y="0"/>
              </wp:wrapPolygon>
            </wp:wrapTight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4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6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B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0C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0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D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 xml:space="preserve">О памятнике природы регионального значения </w:t>
            </w:r>
          </w:p>
          <w:p w14:paraId="12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«Озеро Каповое (Подсопочное)»</w:t>
            </w:r>
          </w:p>
        </w:tc>
      </w:tr>
    </w:tbl>
    <w:p w14:paraId="1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4000000">
      <w:pPr>
        <w:pStyle w:val="Style_1"/>
        <w:spacing w:after="0" w:before="0" w:line="216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</w:t>
      </w:r>
      <w:r>
        <w:rPr>
          <w:rFonts w:ascii="Times New Roman" w:hAnsi="Times New Roman"/>
          <w:sz w:val="28"/>
        </w:rPr>
        <w:t>09.01.1981</w:t>
      </w:r>
      <w:r>
        <w:rPr>
          <w:rFonts w:ascii="Times New Roman" w:hAnsi="Times New Roman"/>
          <w:sz w:val="28"/>
        </w:rPr>
        <w:t xml:space="preserve"> № 9 «О памятниках природы на территории Камчатской области», </w:t>
      </w:r>
    </w:p>
    <w:p w14:paraId="15000000">
      <w:pPr>
        <w:pStyle w:val="Style_1"/>
        <w:spacing w:after="0" w:before="0" w:line="216" w:lineRule="auto"/>
        <w:ind w:firstLine="720" w:left="0" w:right="0"/>
        <w:jc w:val="both"/>
        <w:rPr>
          <w:rFonts w:ascii="Times New Roman" w:hAnsi="Times New Roman"/>
          <w:sz w:val="28"/>
        </w:rPr>
      </w:pPr>
    </w:p>
    <w:p w14:paraId="16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7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8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Утвердить:</w:t>
      </w:r>
    </w:p>
    <w:p w14:paraId="19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«Озеро Каповое (Подсопочное)» согласно приложению 1 к настоящему постановлению;</w:t>
      </w:r>
    </w:p>
    <w:p w14:paraId="1A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«Озеро Каповое (Подсопочное)» согласно приложению 2 к настоящему постановлению.</w:t>
      </w:r>
    </w:p>
    <w:p w14:paraId="1B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C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D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1E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F000000">
            <w:pPr>
              <w:pStyle w:val="Style_1"/>
              <w:widowControl w:val="0"/>
              <w:spacing w:after="160" w:before="0" w:line="264" w:lineRule="auto"/>
              <w:ind w:firstLine="0" w:left="0" w:right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0000000">
            <w:pPr>
              <w:pStyle w:val="Style_1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Е.А. Чекин</w:t>
            </w:r>
          </w:p>
        </w:tc>
      </w:tr>
    </w:tbl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7"/>
        <w:gridCol w:w="478"/>
        <w:gridCol w:w="484"/>
        <w:gridCol w:w="3662"/>
        <w:gridCol w:w="480"/>
        <w:gridCol w:w="1877"/>
        <w:gridCol w:w="486"/>
        <w:gridCol w:w="1692"/>
      </w:tblGrid>
      <w:tr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 xml:space="preserve">Приложение </w:t>
            </w:r>
            <w:bookmarkStart w:id="2" w:name="_GoBack"/>
            <w:bookmarkEnd w:id="2"/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1 к постановлению</w:t>
            </w:r>
          </w:p>
        </w:tc>
      </w:tr>
      <w:tr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4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Положение</w:t>
      </w:r>
    </w:p>
    <w:p w14:paraId="3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о памятнике природы регионального значения </w:t>
      </w:r>
    </w:p>
    <w:p w14:paraId="3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«Озеро Каповое (Подсопочное)» </w:t>
      </w:r>
    </w:p>
    <w:p w14:paraId="3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9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A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3B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«Озеро Каповое (Подсопочное)» (далее – Памятник природы).</w:t>
      </w:r>
    </w:p>
    <w:p w14:paraId="3C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3D000000">
      <w:pPr>
        <w:pStyle w:val="Style_1"/>
        <w:tabs>
          <w:tab w:leader="none" w:pos="567" w:val="left"/>
          <w:tab w:leader="none" w:pos="708" w:val="clear"/>
          <w:tab w:leader="none" w:pos="851" w:val="left"/>
          <w:tab w:leader="none" w:pos="993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3E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  <w:highlight w:val="yellow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уникального, невосполнимого, ценного в экологическом, научном, эстетическом, рекреационном и природоохранном отношениях природного комплекса, представленного ледниковым реликтовым, с подземным стоком и не имеющего притоков, озером Каповое (Подсопочное) с глубинами 2–14 м, размерами 1000 х 400 м, расположенного на западном  макросклоне  Срединного  хребта,  на высоте 496,0 м над уровнем моря, между двумя безымянными правыми притоками реки Средняя Воровская, являющегося местом обитания пресноводной (жилой) формы нерки – кокани </w:t>
      </w:r>
      <w:r>
        <w:rPr>
          <w:rFonts w:ascii="Times New Roman" w:hAnsi="Times New Roman"/>
          <w:i w:val="1"/>
          <w:sz w:val="28"/>
        </w:rPr>
        <w:t>Oncorhynchus nerka kennerlyi</w:t>
      </w:r>
      <w:r>
        <w:rPr>
          <w:rFonts w:ascii="Times New Roman" w:hAnsi="Times New Roman"/>
          <w:sz w:val="28"/>
        </w:rPr>
        <w:t xml:space="preserve">, а также гольца Таранца </w:t>
      </w:r>
      <w:r>
        <w:rPr>
          <w:rFonts w:ascii="Times New Roman" w:hAnsi="Times New Roman"/>
          <w:i w:val="1"/>
          <w:sz w:val="28"/>
        </w:rPr>
        <w:t>Salvelinus taranetzi</w:t>
      </w:r>
      <w:r>
        <w:rPr>
          <w:rFonts w:ascii="Times New Roman" w:hAnsi="Times New Roman"/>
          <w:sz w:val="28"/>
        </w:rPr>
        <w:t>, включая сохранение в естественном состоянии природных экологических систем бореальных лиственных (каменно-березовых) лесов с участием рябины бузинолистной, стелющихся лесов из кедрового и ольхового стлаников, низинных террасных болот, субальпийских лугов, горных тундр, их средообразующих функций и биологической продуктивности;</w:t>
      </w:r>
    </w:p>
    <w:p w14:paraId="3F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охрана редких видов животных и растений, занесенных в Красную книгу Камчатского края и Красную книгу Российской Федерации, прежде всего узкоареальных нативных изолированных популяций жилой нерки </w:t>
      </w:r>
      <w:r>
        <w:rPr>
          <w:rFonts w:ascii="Times New Roman" w:hAnsi="Times New Roman"/>
          <w:i w:val="1"/>
          <w:sz w:val="28"/>
        </w:rPr>
        <w:t>Oncorhynchus nerka kennerlyi</w:t>
      </w:r>
      <w:r>
        <w:rPr>
          <w:rFonts w:ascii="Times New Roman" w:hAnsi="Times New Roman"/>
          <w:sz w:val="28"/>
        </w:rPr>
        <w:t xml:space="preserve"> (кокани) и гольца Таранца </w:t>
      </w:r>
      <w:r>
        <w:rPr>
          <w:rFonts w:ascii="Times New Roman" w:hAnsi="Times New Roman"/>
          <w:i w:val="1"/>
          <w:sz w:val="28"/>
        </w:rPr>
        <w:t>Salvelinus taranetzi</w:t>
      </w:r>
      <w:r>
        <w:rPr>
          <w:rFonts w:ascii="Times New Roman" w:hAnsi="Times New Roman"/>
          <w:sz w:val="28"/>
        </w:rPr>
        <w:t>, сохранение среды их обитания;</w:t>
      </w:r>
    </w:p>
    <w:p w14:paraId="40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минимизация негативного антропогенного воздействия на естественные экологические системы озера Каповое (Подсопочное), в том числе при осуществлении туризма;</w:t>
      </w:r>
    </w:p>
    <w:p w14:paraId="41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проведение научных исследований, разработка и внедрение научных методов сохранения узкоареальных нативных изолированных популяций рыб семейства лососевые </w:t>
      </w:r>
      <w:r>
        <w:rPr>
          <w:rFonts w:ascii="Times New Roman" w:hAnsi="Times New Roman"/>
          <w:i w:val="1"/>
          <w:sz w:val="28"/>
        </w:rPr>
        <w:t>Salmonidae</w:t>
      </w:r>
      <w:r>
        <w:rPr>
          <w:rFonts w:ascii="Times New Roman" w:hAnsi="Times New Roman"/>
          <w:sz w:val="28"/>
        </w:rPr>
        <w:t>;</w:t>
      </w:r>
    </w:p>
    <w:p w14:paraId="4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государственный экологический мониторинг (государственный мониторинг окружающей среды);</w:t>
      </w:r>
    </w:p>
    <w:p w14:paraId="4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экологическое просвещение населения.</w:t>
      </w:r>
    </w:p>
    <w:p w14:paraId="44000000">
      <w:pPr>
        <w:pStyle w:val="Style_1"/>
        <w:tabs>
          <w:tab w:leader="none" w:pos="708" w:val="clear"/>
          <w:tab w:leader="none" w:pos="993" w:val="left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Памятник природы создан решением Исполнительного комитета Камчатского областного Совета народных депутатов от </w:t>
      </w:r>
      <w:r>
        <w:rPr>
          <w:rFonts w:ascii="Times New Roman" w:hAnsi="Times New Roman"/>
          <w:sz w:val="28"/>
        </w:rPr>
        <w:t>09.01.1981</w:t>
      </w:r>
      <w:r>
        <w:rPr>
          <w:rFonts w:ascii="Times New Roman" w:hAnsi="Times New Roman"/>
          <w:sz w:val="28"/>
        </w:rPr>
        <w:t xml:space="preserve"> № 9 «О памятниках природы на территории Камчатской области», без ограничения срока его функционирования.</w:t>
      </w:r>
    </w:p>
    <w:p w14:paraId="45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6000000">
      <w:pPr>
        <w:pStyle w:val="Style_1"/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127,7 га. </w:t>
      </w:r>
    </w:p>
    <w:p w14:paraId="47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8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9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A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Виды разрешенного использования земельных участков, расположенных в границах Памятника природы:</w:t>
      </w:r>
    </w:p>
    <w:p w14:paraId="4B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1) основные виды разрешенного использования земельных участков:</w:t>
      </w:r>
    </w:p>
    <w:p w14:paraId="4C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а) природно-познавательный туризм (код 5.2);</w:t>
      </w:r>
    </w:p>
    <w:p w14:paraId="4D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б) охрана природных территорий (код 9.1);</w:t>
      </w:r>
    </w:p>
    <w:p w14:paraId="4E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в) резервные леса (код 10.4);</w:t>
      </w:r>
    </w:p>
    <w:p w14:paraId="4F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2) вспомогательные виды разрешенного использования земельных участков:</w:t>
      </w:r>
    </w:p>
    <w:p w14:paraId="50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1) заготовка лесных ресурсов (код 10.3) (в части заготовки гражданами пищевых лесных ресурсов, недревесных лесных ресурсов и сбора ими лекарственных растений для собственных нужд);</w:t>
      </w:r>
    </w:p>
    <w:p w14:paraId="51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2) общее пользование водными объектами (код 11.1) (в части водопользования, осуществляемого гражданами для личных нужд).</w:t>
      </w:r>
    </w:p>
    <w:p w14:paraId="52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Положения.</w:t>
      </w:r>
    </w:p>
    <w:p w14:paraId="53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4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5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 им  осуществляется  краевым государственным казенным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6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природы, в том числе в целях туризма, осуществляется по разрешениям, выдаваемым Учреждением.   </w:t>
      </w:r>
    </w:p>
    <w:p w14:paraId="57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8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14:paraId="59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A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B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5C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Памятник природы расположен в Соболевском муниципальном районе, на западном макросклоне Срединного хребта, на высоте 496,0 м над уровнем моря, между двумя безымянными правыми притоками реки Средняя Воровская, в 223,4 м от русла реки и в 6084,3 м к юго-западу от перевала Мактова (897,0 м над уровнем моря), акваторию бессточного и не имеющего притоки озера Каповое (Подсопочное) и прилегающие к нему на расстоянии 200–500 м от береговой линии озера лесные участки. </w:t>
      </w:r>
    </w:p>
    <w:p w14:paraId="5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Памятник природы устанавливается в следующих границах:</w:t>
      </w:r>
    </w:p>
    <w:p w14:paraId="5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северная граница: от характерной точки 45 с географическими координатами 54 градуса 7 минут 58.9 секунды северной широты и 157 градусов 1 минута 27.5 секунды восточной долготы, расположенной на восточном склоне безымянного холма (высотная отметка 627,0 м), проходит в общем восточном направлении на протяжении 1365,4 м через характерные точки 46–47, 1–12, до характерной точки 13 с географическими координатами 54 градуса 8 минут 0.9 секунды северной широты и 157 градусов 2 минуты 39.8 секунды восточной долготы, расположенной на западном отроге Срединного хребта, на линии водораздела двух правых безымянных притоков реки Средняя Воровская, на высоте 800,0 м над уровнем моря, в 6084,3 м к юго-западу от перевала Мактова (897,0 м над уровнем моря); </w:t>
      </w:r>
    </w:p>
    <w:p w14:paraId="5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восточная и юго-восточная границы: от характерной точки 13 в общем юго-восточном направлении по юго-восточному склону отрога Срединного хребта на протяжении 802,1 м через характерные точки 14–22 до характерной точки 23 с географическими координатами 54 градуса 7 минут 36.7 секунды северной широты и 157 градусов 2 минуты 26.5 секунды восточной долготы, расположенной на изолинии 520,0 м над уровнем моря;</w:t>
      </w:r>
    </w:p>
    <w:p w14:paraId="6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южная и юго-западная граница: от характерной точки 23 в общем юго-западном направлении через холмисто-увалистую равнину, лежащую на водоразделе двух правых безымянных притоков реки Средняя Воровская, на протяжении 1057,8 м через характерные точки 24–31 до характерной точки 32 с географическими координатами 54 градуса 7 минут 23.9 секунды северной широты и 157 градусов 1 минута 33.4 секунды восточной долготы, расположенной на северо-восточном склоне увала;</w:t>
      </w:r>
    </w:p>
    <w:p w14:paraId="6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западная граница: от характерной точки 32 в общем северном направлении на протяжении 1136,2 м через характерные точки 33–44 до характерной точки 45, где и замыкается.</w:t>
      </w:r>
    </w:p>
    <w:p w14:paraId="62000000">
      <w:pPr>
        <w:pStyle w:val="Style_1"/>
        <w:spacing w:after="0" w:before="0" w:line="240" w:lineRule="auto"/>
        <w:ind w:firstLine="709" w:left="0" w:right="0"/>
        <w:jc w:val="center"/>
      </w:pPr>
    </w:p>
    <w:p w14:paraId="63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64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6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6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и использование земельных участков, использование лесов не по целевому назначению (виду разрешенного использования лесов);</w:t>
      </w:r>
    </w:p>
    <w:p w14:paraId="67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капитальный ремонт объектов капитального строительства;</w:t>
      </w:r>
    </w:p>
    <w:p w14:paraId="68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 w14:paraId="69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A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проведение взрывных работ; </w:t>
      </w:r>
    </w:p>
    <w:p w14:paraId="6B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 w14:paraId="6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все виды лесопользования, за исключением случаев, предусмотренных пунктами 4–11 части 21 Положения;</w:t>
      </w:r>
    </w:p>
    <w:p w14:paraId="6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ведение сельского хозяйства;</w:t>
      </w:r>
    </w:p>
    <w:p w14:paraId="6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 w14:paraId="6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посадка и стоянка вертолетов, стоянка механических транспортных средств вне специально оборудованных мест (площадок), за исключением случаев выполнения мероприятий по ликвидации и предупреждению чрезвычайных ситуаций, осуществления природоохранных мероприятий, а также снегоходов в период установления снежного покрова при соблюдении требований, предусмотренных пунктом 10 части 21 Положения;</w:t>
      </w:r>
    </w:p>
    <w:p w14:paraId="7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размещение некапитальных строений и сооружений, а также палаточных лагерей, костровищ, иных мест отдыха вне специально оборудованных мест и без согласования с Учреждением;</w:t>
      </w:r>
    </w:p>
    <w:p w14:paraId="7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7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13) накопление, размещение, захоронение, сжигание отходов производства и потребления;</w:t>
      </w:r>
    </w:p>
    <w:p w14:paraId="7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15) осуществление туризма вне специально оборудованных для этого местах и маршрутах ; </w:t>
      </w:r>
    </w:p>
    <w:p w14:paraId="7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использование токсичных химических препаратов для охраны и защиты лесов;</w:t>
      </w:r>
    </w:p>
    <w:p w14:paraId="7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 w14:paraId="7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Положения;</w:t>
      </w:r>
    </w:p>
    <w:p w14:paraId="7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19) все виды рыболовства;</w:t>
      </w:r>
    </w:p>
    <w:p w14:paraId="7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20) интродукция живых организмов, гибридизация объектов животного мира;</w:t>
      </w:r>
    </w:p>
    <w:p w14:paraId="7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21) мойка в водных объектах транспортных средств; </w:t>
      </w:r>
    </w:p>
    <w:p w14:paraId="7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22) уничтожение или повреждение аншлагов и других информационных знаков и указателей, нанесение на скалы, деревья, информационные знаки и указатели самовольных надписей.</w:t>
      </w:r>
    </w:p>
    <w:p w14:paraId="7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21. На территории Памятника природы разрешаются следующие виды деятельности:</w:t>
      </w:r>
    </w:p>
    <w:p w14:paraId="7D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E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7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80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14:paraId="81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8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деятельность по охране лесов от пожаров;</w:t>
      </w:r>
    </w:p>
    <w:p w14:paraId="8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 w14:paraId="8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 w14:paraId="8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</w:rPr>
        <w:t xml:space="preserve">9) туризм, включая размещение </w:t>
      </w:r>
      <w:r>
        <w:rPr>
          <w:rFonts w:ascii="Times New Roman" w:hAnsi="Times New Roman"/>
          <w:b w:val="0"/>
          <w:sz w:val="28"/>
        </w:rPr>
        <w:t xml:space="preserve">некапитальных строений, сооружений на специально выделенных местах (участках), не занятых лесными насаждениями, </w:t>
      </w:r>
      <w:r>
        <w:rPr>
          <w:rFonts w:ascii="Times New Roman" w:hAnsi="Times New Roman"/>
          <w:sz w:val="28"/>
        </w:rPr>
        <w:t>при соблюдении требований, предусмотренных частями 15 и 20 Положения</w:t>
      </w:r>
      <w:r>
        <w:rPr>
          <w:rFonts w:ascii="Times New Roman" w:hAnsi="Times New Roman"/>
          <w:b w:val="0"/>
          <w:sz w:val="28"/>
        </w:rPr>
        <w:t>;</w:t>
      </w:r>
    </w:p>
    <w:p w14:paraId="8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10) </w:t>
      </w:r>
      <w:r>
        <w:rPr>
          <w:rFonts w:ascii="Times New Roman" w:hAnsi="Times New Roman"/>
          <w:sz w:val="28"/>
        </w:rPr>
        <w:t>посадка и стоянка вертолетов, стоянка всех видов механических транспортных средств, включая снегоходы, на специально оборудованных</w:t>
      </w:r>
      <w:r>
        <w:rPr>
          <w:rFonts w:ascii="Times New Roman" w:hAnsi="Times New Roman"/>
          <w:b w:val="0"/>
          <w:sz w:val="28"/>
        </w:rPr>
        <w:t xml:space="preserve"> площадках (местах) на расстоянии не менее 150 метров от крайних выходов термоминеральных вод или границы термального поля;</w:t>
      </w:r>
    </w:p>
    <w:p w14:paraId="8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грибов и дикорастущих растений, виды которых занесены в Красную книгу Российской Федерации, Красную книгу Камчатского края;</w:t>
      </w:r>
    </w:p>
    <w:p w14:paraId="8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эколого-просветительская деятельность.</w:t>
      </w:r>
    </w:p>
    <w:p w14:paraId="89000000">
      <w:pPr>
        <w:pStyle w:val="Style_1"/>
        <w:ind w:firstLine="709" w:left="0" w:right="0"/>
        <w:jc w:val="both"/>
        <w:rPr>
          <w:sz w:val="28"/>
        </w:rPr>
      </w:pPr>
    </w:p>
    <w:p w14:paraId="8A000000">
      <w:pPr>
        <w:pStyle w:val="Style_1"/>
        <w:spacing w:line="240" w:lineRule="auto"/>
        <w:ind w:firstLine="709" w:left="0" w:right="0"/>
        <w:jc w:val="both"/>
        <w:rPr>
          <w:sz w:val="28"/>
        </w:rPr>
      </w:pPr>
    </w:p>
    <w:p w14:paraId="8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E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F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7"/>
        <w:gridCol w:w="478"/>
        <w:gridCol w:w="484"/>
        <w:gridCol w:w="3662"/>
        <w:gridCol w:w="480"/>
        <w:gridCol w:w="1877"/>
        <w:gridCol w:w="486"/>
        <w:gridCol w:w="1692"/>
      </w:tblGrid>
      <w:tr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A4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A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Графическое описание </w:t>
      </w:r>
    </w:p>
    <w:p w14:paraId="A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местоположения границ памятника природы регионального значения </w:t>
      </w:r>
    </w:p>
    <w:p w14:paraId="A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«Озеро Каповое (Подсопочное)» (далее – Памятник природы)</w:t>
      </w:r>
    </w:p>
    <w:p w14:paraId="A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4"/>
        </w:rPr>
      </w:pPr>
    </w:p>
    <w:p w14:paraId="A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A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2"/>
        <w:gridCol w:w="4146"/>
        <w:gridCol w:w="5066"/>
      </w:tblGrid>
      <w:tr>
        <w:trPr>
          <w:trHeight w:hRule="atLeast" w:val="411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Камчатский край, Соболевский                                         муниципальный район</w:t>
            </w:r>
          </w:p>
        </w:tc>
      </w:tr>
      <w:t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Площадь объекта +/– величина погрешности определения площади   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1276876 +/- 8516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00000">
            <w:pPr>
              <w:pStyle w:val="Style_1"/>
              <w:widowControl w:val="0"/>
              <w:spacing w:after="16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 w14:paraId="B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B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B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699"/>
        <w:gridCol w:w="1713"/>
        <w:gridCol w:w="1738"/>
        <w:gridCol w:w="2098"/>
        <w:gridCol w:w="2389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1. Система координат: МСК 41(1),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6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6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Y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Северная </w:t>
            </w:r>
          </w:p>
          <w:p w14:paraId="C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широта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Восточная </w:t>
            </w:r>
          </w:p>
          <w:p w14:paraId="C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685275.46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1305824.29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54°8'1.2''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157°1'38.9''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685309.23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1305927.05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54°8'2.4''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157°1'44.6''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685347.25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1306055.71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54°8'3.7''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157°1'51.6''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685382.57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1306229.44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54°8'4.9''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157°2'1.1''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685383.12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1306301.44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54°8'5.0''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157°2'5.1''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685370.6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1306369.52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54°8'4.6''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685330.47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1306481.82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54°8'3.4''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157°2'15.1''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685331.25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1306580.84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54°8'3.5''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157°2'20.5''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685334.83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1306662.77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54°8'3.7''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157°2'25.0''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685339.62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1306761.73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54°8'3.9''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157°2'30.5''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685319.28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1306853.91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54°8'3.3''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157°2'35.6''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685285.6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1306895.14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54°8'2.2''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157°2'37.9''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685244.83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1306929.43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54°8'0.9''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157°2'39.8''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685207.93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1306942.74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54°7'59.8''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157°2'40.6''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685169.99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1306947.02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54°7'58.5''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157°2'40.9''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685121.88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1306936.37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54°7'56.9''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157°2'40.3''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685057.59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1306899.83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54°7'54.9''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157°2'38.4''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684958.36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1306856.64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54°7'51.6''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157°2'36.1''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684804.8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1306785.79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54°7'46.6''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157°2'32.4''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684654.46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1306742.94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54°7'41.7''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157°2'30.2''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684575.25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1306717.53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54°7'39.2''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157°2'28.9''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684534.14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1306696.82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54°7'37.8''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157°2'27.8''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684500.99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1306673.06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54°7'36.7''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157°2'26.5''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684458.6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1306627.41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54°7'35.3''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157°2'24.1''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684406.96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1306548.81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54°7'33.6''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157°2'19.8''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684360.38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1306468.14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54°7'32.1''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157°2'15.4''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684307.63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1306362.56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54°7'30.2''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157°2'9.7''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684238.56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1306227.09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54°7'27.9''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157°2'2.3''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684190.57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1306095.44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54°7'26.3''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157°1'55.1''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684138.07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1305895.88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54°7'24.5''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157°1'44.2''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684118.06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1305752.04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54°7'23.7''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157°1'36.3''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684124.67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1305700.96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54°7'23.9''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157°1'33.4''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684141.47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1305679.85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54°7'24.5''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157°1'32.3''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684197.37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1305663.4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54°7'26.3''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157°1'31.3''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684346.06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1305628.31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54°7'31.0''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157°1'29.2''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684498.97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1305610.18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54°7'35.9''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157°1'28.0''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684656.82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1305595.94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54°7'41.1''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157°1'27.1''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684774.79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1305593.05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54°7'44.9''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157°1'26.8''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684889.86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1305596.19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54°7'48.6''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157°1'26.8''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685009.81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1305605.31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54°7'52.5''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157°1'27.2''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685098.82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1305597.65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54°7'55.4''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157°1'26.7''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685159.8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1305594.18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54°7'57.3''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157°1'26.4''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685176.77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1305597.01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54°7'57.9''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157°1'26.5''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685195.87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1305604.92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54°7'58.5''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157°1'26.9''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685208.91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1305615.79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54°7'58.9''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157°1'27.5''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685221.32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1305667.69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54°7'59.4''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157°1'30.4''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685245.9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1305750.51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54°8'0.2''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157°1'34.9''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685275.46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1305824.29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54°8'1.2''</w:t>
            </w:r>
          </w:p>
        </w:tc>
        <w:tc>
          <w:tcPr>
            <w:tcW w:type="dxa" w:w="2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157°1'38.9''</w:t>
            </w:r>
          </w:p>
        </w:tc>
      </w:tr>
    </w:tbl>
    <w:p w14:paraId="C2010000">
      <w:pPr>
        <w:pStyle w:val="Style_1"/>
        <w:rPr>
          <w:rFonts w:ascii="Times New Roman" w:hAnsi="Times New Roman"/>
          <w:sz w:val="24"/>
        </w:rPr>
      </w:pPr>
    </w:p>
    <w:p w14:paraId="C3010000">
      <w:pPr>
        <w:pStyle w:val="Style_1"/>
        <w:rPr>
          <w:rFonts w:ascii="Times New Roman" w:hAnsi="Times New Roman"/>
          <w:sz w:val="24"/>
        </w:rPr>
      </w:pPr>
    </w:p>
    <w:p w14:paraId="C4010000">
      <w:pPr>
        <w:pStyle w:val="Style_1"/>
        <w:rPr>
          <w:rFonts w:ascii="Times New Roman" w:hAnsi="Times New Roman"/>
          <w:sz w:val="24"/>
        </w:rPr>
      </w:pPr>
    </w:p>
    <w:p w14:paraId="C5010000">
      <w:pPr>
        <w:pStyle w:val="Style_1"/>
        <w:rPr>
          <w:rFonts w:ascii="Times New Roman" w:hAnsi="Times New Roman"/>
          <w:sz w:val="24"/>
        </w:rPr>
      </w:pPr>
    </w:p>
    <w:p w14:paraId="C6010000">
      <w:pPr>
        <w:pStyle w:val="Style_1"/>
        <w:rPr>
          <w:rFonts w:ascii="Times New Roman" w:hAnsi="Times New Roman"/>
          <w:sz w:val="24"/>
        </w:rPr>
      </w:pPr>
    </w:p>
    <w:p w14:paraId="C7010000">
      <w:pPr>
        <w:pStyle w:val="Style_1"/>
        <w:rPr>
          <w:rFonts w:ascii="Times New Roman" w:hAnsi="Times New Roman"/>
          <w:sz w:val="24"/>
        </w:rPr>
      </w:pPr>
    </w:p>
    <w:p w14:paraId="C8010000">
      <w:pPr>
        <w:pStyle w:val="Style_1"/>
        <w:rPr>
          <w:rFonts w:ascii="Times New Roman" w:hAnsi="Times New Roman"/>
          <w:sz w:val="24"/>
        </w:rPr>
      </w:pPr>
    </w:p>
    <w:p w14:paraId="C9010000">
      <w:pPr>
        <w:pStyle w:val="Style_1"/>
        <w:rPr>
          <w:rFonts w:ascii="Times New Roman" w:hAnsi="Times New Roman"/>
          <w:sz w:val="24"/>
        </w:rPr>
      </w:pPr>
    </w:p>
    <w:p w14:paraId="CA010000">
      <w:pPr>
        <w:pStyle w:val="Style_1"/>
        <w:rPr>
          <w:rFonts w:ascii="Times New Roman" w:hAnsi="Times New Roman"/>
          <w:sz w:val="24"/>
        </w:rPr>
      </w:pPr>
    </w:p>
    <w:p w14:paraId="CB010000">
      <w:pPr>
        <w:pStyle w:val="Style_1"/>
        <w:rPr>
          <w:rFonts w:ascii="Times New Roman" w:hAnsi="Times New Roman"/>
          <w:sz w:val="24"/>
        </w:rPr>
      </w:pPr>
    </w:p>
    <w:p w14:paraId="CC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</w:t>
      </w:r>
      <w:r>
        <w:rPr>
          <w:rFonts w:ascii="Times New Roman" w:hAnsi="Times New Roman"/>
          <w:color w:val="000000"/>
          <w:sz w:val="28"/>
        </w:rPr>
        <w:t xml:space="preserve">амятника природы </w:t>
      </w:r>
    </w:p>
    <w:p w14:paraId="CD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CE010000">
      <w:pPr>
        <w:pStyle w:val="Style_1"/>
        <w:ind/>
        <w:jc w:val="center"/>
        <w:rPr>
          <w:color w:val="000000"/>
        </w:rPr>
      </w:pPr>
      <w:r>
        <w:drawing>
          <wp:inline>
            <wp:extent cx="5980430" cy="6905625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3"/>
                    <a:srcRect b="25014" l="6850" r="6601" t="4190"/>
                    <a:stretch/>
                  </pic:blipFill>
                  <pic:spPr>
                    <a:xfrm flipH="false" flipV="false" rot="0">
                      <a:ext cx="5980430" cy="69056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F010000">
      <w:pPr>
        <w:pStyle w:val="Style_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5915025" cy="850900"/>
            <wp:effectExtent b="0" l="0" r="0" t="0"/>
            <wp:wrapNone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4"/>
                    <a:srcRect b="10094" l="2644" r="3796" t="80045"/>
                    <a:stretch/>
                  </pic:blipFill>
                  <pic:spPr>
                    <a:xfrm flipH="false" flipV="false" rot="0">
                      <a:ext cx="5915025" cy="8509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D0010000">
      <w:pPr>
        <w:pStyle w:val="Style_1"/>
        <w:rPr>
          <w:rFonts w:ascii="Times New Roman" w:hAnsi="Times New Roman"/>
          <w:sz w:val="24"/>
        </w:rPr>
      </w:pPr>
    </w:p>
    <w:p w14:paraId="D1010000">
      <w:pPr>
        <w:pStyle w:val="Style_1"/>
        <w:rPr>
          <w:rFonts w:ascii="Times New Roman" w:hAnsi="Times New Roman"/>
          <w:sz w:val="24"/>
        </w:rPr>
      </w:pPr>
    </w:p>
    <w:p w14:paraId="D2010000">
      <w:pPr>
        <w:pStyle w:val="Style_1"/>
        <w:rPr>
          <w:rFonts w:ascii="Times New Roman" w:hAnsi="Times New Roman"/>
          <w:sz w:val="24"/>
        </w:rPr>
      </w:pPr>
    </w:p>
    <w:p w14:paraId="D3010000">
      <w:pPr>
        <w:pStyle w:val="Style_1"/>
        <w:rPr>
          <w:rFonts w:ascii="Times New Roman" w:hAnsi="Times New Roman"/>
          <w:sz w:val="24"/>
        </w:rPr>
      </w:pPr>
    </w:p>
    <w:p w14:paraId="D4010000">
      <w:pPr>
        <w:pStyle w:val="Style_1"/>
        <w:rPr>
          <w:rFonts w:ascii="Times New Roman" w:hAnsi="Times New Roman"/>
          <w:sz w:val="24"/>
        </w:rPr>
      </w:pPr>
    </w:p>
    <w:p w14:paraId="D5010000">
      <w:pPr>
        <w:pStyle w:val="Style_1"/>
        <w:rPr>
          <w:rFonts w:ascii="Times New Roman" w:hAnsi="Times New Roman"/>
          <w:sz w:val="24"/>
        </w:rPr>
      </w:pPr>
    </w:p>
    <w:p w14:paraId="D601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Ситуационный план местоположения Памятника природы</w:t>
      </w:r>
    </w:p>
    <w:p w14:paraId="D7010000">
      <w:pPr>
        <w:pStyle w:val="Style_1"/>
        <w:spacing w:after="160" w:before="0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5541010" cy="7359650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541010" cy="735965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type w:val="nextPage"/>
      <w:pgSz w:h="16838" w:orient="portrait" w:w="11906"/>
      <w:pgMar w:bottom="822" w:footer="0" w:gutter="0" w:header="709" w:left="1418" w:right="851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widowControl w:val="1"/>
      <w:spacing w:after="160" w:before="0" w:line="264" w:lineRule="auto"/>
      <w:ind w:firstLine="0" w:left="0" w:right="0"/>
      <w:jc w:val="left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0335" cy="159385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0335" cy="1593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after="160" w:before="0"/>
                            <w:ind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4" w:type="paragraph">
    <w:name w:val="Heading 2"/>
    <w:link w:val="Style_4_ch"/>
    <w:rPr>
      <w:rFonts w:ascii="XO Thames" w:hAnsi="XO Thames"/>
      <w:b w:val="1"/>
      <w:sz w:val="28"/>
    </w:rPr>
  </w:style>
  <w:style w:styleId="Style_4_ch" w:type="character">
    <w:name w:val="Heading 2"/>
    <w:link w:val="Style_4"/>
    <w:rPr>
      <w:rFonts w:ascii="XO Thames" w:hAnsi="XO Thames"/>
      <w:b w:val="1"/>
      <w:sz w:val="28"/>
    </w:rPr>
  </w:style>
  <w:style w:styleId="Style_5" w:type="paragraph">
    <w:name w:val="Heading 3"/>
    <w:link w:val="Style_5_ch"/>
    <w:rPr>
      <w:rFonts w:ascii="XO Thames" w:hAnsi="XO Thames"/>
      <w:b w:val="1"/>
      <w:sz w:val="26"/>
    </w:rPr>
  </w:style>
  <w:style w:styleId="Style_5_ch" w:type="character">
    <w:name w:val="Heading 3"/>
    <w:link w:val="Style_5"/>
    <w:rPr>
      <w:rFonts w:ascii="XO Thames" w:hAnsi="XO Thames"/>
      <w:b w:val="1"/>
      <w:sz w:val="26"/>
    </w:rPr>
  </w:style>
  <w:style w:styleId="Style_6" w:type="paragraph">
    <w:name w:val="toc 2"/>
    <w:next w:val="Style_1"/>
    <w:link w:val="Style_6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6_ch" w:type="character">
    <w:name w:val="toc 2"/>
    <w:link w:val="Style_6"/>
    <w:rPr>
      <w:rFonts w:ascii="XO Thames" w:hAnsi="XO Thames"/>
      <w:color w:val="000000"/>
      <w:spacing w:val="0"/>
      <w:sz w:val="28"/>
    </w:rPr>
  </w:style>
  <w:style w:styleId="Style_7" w:type="paragraph">
    <w:name w:val="toc 4"/>
    <w:next w:val="Style_1"/>
    <w:link w:val="Style_7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7_ch" w:type="character">
    <w:name w:val="toc 4"/>
    <w:link w:val="Style_7"/>
    <w:rPr>
      <w:rFonts w:ascii="XO Thames" w:hAnsi="XO Thames"/>
      <w:color w:val="000000"/>
      <w:spacing w:val="0"/>
      <w:sz w:val="28"/>
    </w:rPr>
  </w:style>
  <w:style w:styleId="Style_8" w:type="paragraph">
    <w:name w:val="Заголовок"/>
    <w:basedOn w:val="Style_1"/>
    <w:next w:val="Style_9"/>
    <w:link w:val="Style_8_ch"/>
    <w:pPr>
      <w:keepNext w:val="1"/>
      <w:spacing w:after="120" w:before="240"/>
      <w:ind/>
    </w:pPr>
    <w:rPr>
      <w:rFonts w:ascii="Open Sans" w:hAnsi="Open Sans"/>
      <w:sz w:val="28"/>
    </w:rPr>
  </w:style>
  <w:style w:styleId="Style_8_ch" w:type="character">
    <w:name w:val="Заголовок"/>
    <w:basedOn w:val="Style_1_ch"/>
    <w:link w:val="Style_8"/>
    <w:rPr>
      <w:rFonts w:ascii="Open Sans" w:hAnsi="Open Sans"/>
      <w:sz w:val="28"/>
    </w:rPr>
  </w:style>
  <w:style w:styleId="Style_10" w:type="paragraph">
    <w:name w:val="toc 6"/>
    <w:next w:val="Style_1"/>
    <w:link w:val="Style_10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10_ch" w:type="character">
    <w:name w:val="toc 6"/>
    <w:link w:val="Style_10"/>
    <w:rPr>
      <w:rFonts w:ascii="XO Thames" w:hAnsi="XO Thames"/>
      <w:color w:val="000000"/>
      <w:spacing w:val="0"/>
      <w:sz w:val="28"/>
    </w:rPr>
  </w:style>
  <w:style w:styleId="Style_11" w:type="paragraph">
    <w:name w:val="Contents 3"/>
    <w:link w:val="Style_11_ch"/>
    <w:rPr>
      <w:rFonts w:ascii="XO Thames" w:hAnsi="XO Thames"/>
      <w:sz w:val="28"/>
    </w:rPr>
  </w:style>
  <w:style w:styleId="Style_11_ch" w:type="character">
    <w:name w:val="Contents 3"/>
    <w:link w:val="Style_11"/>
    <w:rPr>
      <w:rFonts w:ascii="XO Thames" w:hAnsi="XO Thames"/>
      <w:sz w:val="28"/>
    </w:rPr>
  </w:style>
  <w:style w:styleId="Style_12" w:type="paragraph">
    <w:name w:val="toc 7"/>
    <w:next w:val="Style_1"/>
    <w:link w:val="Style_12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12_ch" w:type="character">
    <w:name w:val="toc 7"/>
    <w:link w:val="Style_12"/>
    <w:rPr>
      <w:rFonts w:ascii="XO Thames" w:hAnsi="XO Thames"/>
      <w:color w:val="000000"/>
      <w:spacing w:val="0"/>
      <w:sz w:val="28"/>
    </w:rPr>
  </w:style>
  <w:style w:styleId="Style_13" w:type="paragraph">
    <w:name w:val="Balloon Text"/>
    <w:basedOn w:val="Style_1"/>
    <w:link w:val="Style_13_ch"/>
    <w:pPr>
      <w:spacing w:after="0" w:before="0" w:line="240" w:lineRule="auto"/>
      <w:ind/>
    </w:pPr>
    <w:rPr>
      <w:rFonts w:ascii="Segoe UI" w:hAnsi="Segoe UI"/>
      <w:sz w:val="18"/>
    </w:rPr>
  </w:style>
  <w:style w:styleId="Style_13_ch" w:type="character">
    <w:name w:val="Balloon Text"/>
    <w:basedOn w:val="Style_1_ch"/>
    <w:link w:val="Style_13"/>
    <w:rPr>
      <w:rFonts w:ascii="Segoe UI" w:hAnsi="Segoe UI"/>
      <w:sz w:val="18"/>
    </w:rPr>
  </w:style>
  <w:style w:styleId="Style_14" w:type="paragraph">
    <w:name w:val="Contents 5"/>
    <w:link w:val="Style_14_ch"/>
    <w:rPr>
      <w:rFonts w:ascii="XO Thames" w:hAnsi="XO Thames"/>
      <w:sz w:val="28"/>
    </w:rPr>
  </w:style>
  <w:style w:styleId="Style_14_ch" w:type="character">
    <w:name w:val="Contents 5"/>
    <w:link w:val="Style_14"/>
    <w:rPr>
      <w:rFonts w:ascii="XO Thames" w:hAnsi="XO Thames"/>
      <w:sz w:val="28"/>
    </w:rPr>
  </w:style>
  <w:style w:styleId="Style_15" w:type="paragraph">
    <w:name w:val="heading 3"/>
    <w:next w:val="Style_1"/>
    <w:link w:val="Style_15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15_ch" w:type="character">
    <w:name w:val="heading 3"/>
    <w:link w:val="Style_15"/>
    <w:rPr>
      <w:rFonts w:ascii="XO Thames" w:hAnsi="XO Thames"/>
      <w:b w:val="1"/>
      <w:color w:val="000000"/>
      <w:spacing w:val="0"/>
      <w:sz w:val="26"/>
    </w:rPr>
  </w:style>
  <w:style w:styleId="Style_16" w:type="paragraph">
    <w:name w:val="Caption"/>
    <w:basedOn w:val="Style_1"/>
    <w:link w:val="Style_16_ch"/>
    <w:pPr>
      <w:spacing w:after="120" w:before="120"/>
      <w:ind/>
    </w:pPr>
    <w:rPr>
      <w:i w:val="1"/>
      <w:sz w:val="24"/>
    </w:rPr>
  </w:style>
  <w:style w:styleId="Style_16_ch" w:type="character">
    <w:name w:val="Caption"/>
    <w:basedOn w:val="Style_1_ch"/>
    <w:link w:val="Style_16"/>
    <w:rPr>
      <w:i w:val="1"/>
      <w:sz w:val="24"/>
    </w:rPr>
  </w:style>
  <w:style w:styleId="Style_17" w:type="paragraph">
    <w:name w:val="Contents 7"/>
    <w:link w:val="Style_17_ch"/>
    <w:rPr>
      <w:rFonts w:ascii="XO Thames" w:hAnsi="XO Thames"/>
      <w:sz w:val="28"/>
    </w:rPr>
  </w:style>
  <w:style w:styleId="Style_17_ch" w:type="character">
    <w:name w:val="Contents 7"/>
    <w:link w:val="Style_17"/>
    <w:rPr>
      <w:rFonts w:ascii="XO Thames" w:hAnsi="XO Thames"/>
      <w:sz w:val="28"/>
    </w:rPr>
  </w:style>
  <w:style w:styleId="Style_18" w:type="paragraph">
    <w:name w:val="Contents 8"/>
    <w:link w:val="Style_18_ch"/>
    <w:rPr>
      <w:rFonts w:ascii="XO Thames" w:hAnsi="XO Thames"/>
      <w:sz w:val="28"/>
    </w:rPr>
  </w:style>
  <w:style w:styleId="Style_18_ch" w:type="character">
    <w:name w:val="Contents 8"/>
    <w:link w:val="Style_18"/>
    <w:rPr>
      <w:rFonts w:ascii="XO Thames" w:hAnsi="XO Thames"/>
      <w:sz w:val="28"/>
    </w:rPr>
  </w:style>
  <w:style w:styleId="Style_19" w:type="paragraph">
    <w:name w:val="Heading 1"/>
    <w:link w:val="Style_19_ch"/>
    <w:rPr>
      <w:rFonts w:ascii="XO Thames" w:hAnsi="XO Thames"/>
      <w:b w:val="1"/>
      <w:sz w:val="32"/>
    </w:rPr>
  </w:style>
  <w:style w:styleId="Style_19_ch" w:type="character">
    <w:name w:val="Heading 1"/>
    <w:link w:val="Style_19"/>
    <w:rPr>
      <w:rFonts w:ascii="XO Thames" w:hAnsi="XO Thames"/>
      <w:b w:val="1"/>
      <w:sz w:val="32"/>
    </w:rPr>
  </w:style>
  <w:style w:styleId="Style_20" w:type="paragraph">
    <w:name w:val="Heading 5"/>
    <w:link w:val="Style_20_ch"/>
    <w:rPr>
      <w:rFonts w:ascii="XO Thames" w:hAnsi="XO Thames"/>
      <w:b w:val="1"/>
    </w:rPr>
  </w:style>
  <w:style w:styleId="Style_20_ch" w:type="character">
    <w:name w:val="Heading 5"/>
    <w:link w:val="Style_20"/>
    <w:rPr>
      <w:rFonts w:ascii="XO Thames" w:hAnsi="XO Thames"/>
      <w:b w:val="1"/>
    </w:rPr>
  </w:style>
  <w:style w:styleId="Style_21" w:type="paragraph">
    <w:name w:val="Header"/>
    <w:link w:val="Style_21_ch"/>
  </w:style>
  <w:style w:styleId="Style_21_ch" w:type="character">
    <w:name w:val="Header"/>
    <w:link w:val="Style_21"/>
  </w:style>
  <w:style w:styleId="Style_22" w:type="paragraph">
    <w:name w:val="Содержимое врезки"/>
    <w:basedOn w:val="Style_1"/>
    <w:link w:val="Style_22_ch"/>
  </w:style>
  <w:style w:styleId="Style_22_ch" w:type="character">
    <w:name w:val="Содержимое врезки"/>
    <w:basedOn w:val="Style_1_ch"/>
    <w:link w:val="Style_22"/>
  </w:style>
  <w:style w:styleId="Style_23" w:type="paragraph">
    <w:name w:val="Plain Text"/>
    <w:basedOn w:val="Style_1"/>
    <w:link w:val="Style_23_ch"/>
    <w:pPr>
      <w:spacing w:after="0" w:before="0" w:line="240" w:lineRule="auto"/>
      <w:ind/>
    </w:pPr>
    <w:rPr>
      <w:rFonts w:ascii="Calibri" w:hAnsi="Calibri"/>
    </w:rPr>
  </w:style>
  <w:style w:styleId="Style_23_ch" w:type="character">
    <w:name w:val="Plain Text"/>
    <w:basedOn w:val="Style_1_ch"/>
    <w:link w:val="Style_23"/>
    <w:rPr>
      <w:rFonts w:ascii="Calibri" w:hAnsi="Calibri"/>
    </w:rPr>
  </w:style>
  <w:style w:styleId="Style_24" w:type="paragraph">
    <w:name w:val="toc 3"/>
    <w:next w:val="Style_1"/>
    <w:link w:val="Style_24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24_ch" w:type="character">
    <w:name w:val="toc 3"/>
    <w:link w:val="Style_24"/>
    <w:rPr>
      <w:rFonts w:ascii="XO Thames" w:hAnsi="XO Thames"/>
      <w:color w:val="000000"/>
      <w:spacing w:val="0"/>
      <w:sz w:val="28"/>
    </w:rPr>
  </w:style>
  <w:style w:styleId="Style_25" w:type="paragraph">
    <w:name w:val="Heading 4"/>
    <w:link w:val="Style_25_ch"/>
    <w:rPr>
      <w:rFonts w:ascii="XO Thames" w:hAnsi="XO Thames"/>
      <w:b w:val="1"/>
      <w:sz w:val="24"/>
    </w:rPr>
  </w:style>
  <w:style w:styleId="Style_25_ch" w:type="character">
    <w:name w:val="Heading 4"/>
    <w:link w:val="Style_25"/>
    <w:rPr>
      <w:rFonts w:ascii="XO Thames" w:hAnsi="XO Thames"/>
      <w:b w:val="1"/>
      <w:sz w:val="24"/>
    </w:rPr>
  </w:style>
  <w:style w:styleId="Style_26" w:type="paragraph">
    <w:name w:val="Contents 2"/>
    <w:link w:val="Style_26_ch"/>
    <w:rPr>
      <w:rFonts w:ascii="XO Thames" w:hAnsi="XO Thames"/>
      <w:sz w:val="28"/>
    </w:rPr>
  </w:style>
  <w:style w:styleId="Style_26_ch" w:type="character">
    <w:name w:val="Contents 2"/>
    <w:link w:val="Style_26"/>
    <w:rPr>
      <w:rFonts w:ascii="XO Thames" w:hAnsi="XO Thames"/>
      <w:sz w:val="28"/>
    </w:rPr>
  </w:style>
  <w:style w:styleId="Style_27" w:type="paragraph">
    <w:name w:val="heading 5"/>
    <w:next w:val="Style_1"/>
    <w:link w:val="Style_27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27_ch" w:type="character">
    <w:name w:val="heading 5"/>
    <w:link w:val="Style_27"/>
    <w:rPr>
      <w:rFonts w:ascii="XO Thames" w:hAnsi="XO Thames"/>
      <w:b w:val="1"/>
      <w:color w:val="000000"/>
      <w:spacing w:val="0"/>
      <w:sz w:val="22"/>
    </w:rPr>
  </w:style>
  <w:style w:styleId="Style_28" w:type="paragraph">
    <w:name w:val="heading 1"/>
    <w:next w:val="Style_1"/>
    <w:link w:val="Style_28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28_ch" w:type="character">
    <w:name w:val="heading 1"/>
    <w:link w:val="Style_28"/>
    <w:rPr>
      <w:rFonts w:ascii="XO Thames" w:hAnsi="XO Thames"/>
      <w:b w:val="1"/>
      <w:color w:val="000000"/>
      <w:spacing w:val="0"/>
      <w:sz w:val="32"/>
    </w:rPr>
  </w:style>
  <w:style w:styleId="Style_29" w:type="paragraph">
    <w:name w:val="Основной шрифт абзаца1"/>
    <w:link w:val="Style_29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9_ch" w:type="character">
    <w:name w:val="Основной шрифт абзаца1"/>
    <w:link w:val="Style_29"/>
    <w:rPr>
      <w:rFonts w:asciiTheme="minorAscii" w:hAnsiTheme="minorHAnsi"/>
      <w:color w:val="000000"/>
      <w:spacing w:val="0"/>
      <w:sz w:val="22"/>
    </w:rPr>
  </w:style>
  <w:style w:styleId="Style_30" w:type="paragraph">
    <w:name w:val="Hyperlink"/>
    <w:link w:val="Style_30_ch"/>
    <w:rPr>
      <w:color w:val="0000FF"/>
      <w:u w:val="single"/>
    </w:rPr>
  </w:style>
  <w:style w:styleId="Style_30_ch" w:type="character">
    <w:name w:val="Hyperlink"/>
    <w:link w:val="Style_30"/>
    <w:rPr>
      <w:color w:val="0000FF"/>
      <w:u w:val="single"/>
    </w:rPr>
  </w:style>
  <w:style w:styleId="Style_31" w:type="paragraph">
    <w:name w:val="Footnote"/>
    <w:link w:val="Style_31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31_ch" w:type="character">
    <w:name w:val="Footnote"/>
    <w:link w:val="Style_31"/>
    <w:rPr>
      <w:rFonts w:ascii="XO Thames" w:hAnsi="XO Thames"/>
      <w:color w:val="000000"/>
      <w:spacing w:val="0"/>
      <w:sz w:val="22"/>
    </w:rPr>
  </w:style>
  <w:style w:styleId="Style_32" w:type="paragraph">
    <w:name w:val="Contents 4"/>
    <w:link w:val="Style_32_ch"/>
    <w:rPr>
      <w:rFonts w:ascii="XO Thames" w:hAnsi="XO Thames"/>
      <w:sz w:val="28"/>
    </w:rPr>
  </w:style>
  <w:style w:styleId="Style_32_ch" w:type="character">
    <w:name w:val="Contents 4"/>
    <w:link w:val="Style_32"/>
    <w:rPr>
      <w:rFonts w:ascii="XO Thames" w:hAnsi="XO Thames"/>
      <w:sz w:val="28"/>
    </w:rPr>
  </w:style>
  <w:style w:styleId="Style_33" w:type="paragraph">
    <w:name w:val="toc 1"/>
    <w:next w:val="Style_1"/>
    <w:link w:val="Style_33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33_ch" w:type="character">
    <w:name w:val="toc 1"/>
    <w:link w:val="Style_33"/>
    <w:rPr>
      <w:rFonts w:ascii="XO Thames" w:hAnsi="XO Thames"/>
      <w:b w:val="1"/>
      <w:color w:val="000000"/>
      <w:spacing w:val="0"/>
      <w:sz w:val="28"/>
    </w:rPr>
  </w:style>
  <w:style w:styleId="Style_34" w:type="paragraph">
    <w:name w:val="Default Paragraph Font"/>
    <w:link w:val="Style_34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34_ch" w:type="character">
    <w:name w:val="Default Paragraph Font"/>
    <w:link w:val="Style_34"/>
    <w:rPr>
      <w:rFonts w:asciiTheme="minorAscii" w:hAnsiTheme="minorHAnsi"/>
      <w:color w:val="000000"/>
      <w:spacing w:val="0"/>
      <w:sz w:val="22"/>
    </w:rPr>
  </w:style>
  <w:style w:styleId="Style_35" w:type="paragraph">
    <w:name w:val="Гиперссылка1"/>
    <w:basedOn w:val="Style_29"/>
    <w:link w:val="Style_35_ch"/>
    <w:rPr>
      <w:color w:themeColor="hyperlink" w:val="0563C1"/>
      <w:u w:val="single"/>
    </w:rPr>
  </w:style>
  <w:style w:styleId="Style_35_ch" w:type="character">
    <w:name w:val="Гиперссылка1"/>
    <w:basedOn w:val="Style_29_ch"/>
    <w:link w:val="Style_35"/>
    <w:rPr>
      <w:color w:themeColor="hyperlink" w:val="0563C1"/>
      <w:u w:val="single"/>
    </w:rPr>
  </w:style>
  <w:style w:styleId="Style_36" w:type="paragraph">
    <w:name w:val="Contents 1"/>
    <w:link w:val="Style_36_ch"/>
    <w:rPr>
      <w:rFonts w:ascii="XO Thames" w:hAnsi="XO Thames"/>
      <w:b w:val="1"/>
      <w:sz w:val="28"/>
    </w:rPr>
  </w:style>
  <w:style w:styleId="Style_36_ch" w:type="character">
    <w:name w:val="Contents 1"/>
    <w:link w:val="Style_36"/>
    <w:rPr>
      <w:rFonts w:ascii="XO Thames" w:hAnsi="XO Thames"/>
      <w:b w:val="1"/>
      <w:sz w:val="28"/>
    </w:rPr>
  </w:style>
  <w:style w:styleId="Style_37" w:type="paragraph">
    <w:name w:val="Contents 6"/>
    <w:link w:val="Style_37_ch"/>
    <w:rPr>
      <w:rFonts w:ascii="XO Thames" w:hAnsi="XO Thames"/>
      <w:sz w:val="28"/>
    </w:rPr>
  </w:style>
  <w:style w:styleId="Style_37_ch" w:type="character">
    <w:name w:val="Contents 6"/>
    <w:link w:val="Style_37"/>
    <w:rPr>
      <w:rFonts w:ascii="XO Thames" w:hAnsi="XO Thames"/>
      <w:sz w:val="28"/>
    </w:rPr>
  </w:style>
  <w:style w:styleId="Style_38" w:type="paragraph">
    <w:name w:val="Header and Footer"/>
    <w:link w:val="Style_38_ch"/>
    <w:rPr>
      <w:rFonts w:ascii="XO Thames" w:hAnsi="XO Thames"/>
      <w:sz w:val="20"/>
    </w:rPr>
  </w:style>
  <w:style w:styleId="Style_38_ch" w:type="character">
    <w:name w:val="Header and Footer"/>
    <w:link w:val="Style_38"/>
    <w:rPr>
      <w:rFonts w:ascii="XO Thames" w:hAnsi="XO Thames"/>
      <w:sz w:val="20"/>
    </w:rPr>
  </w:style>
  <w:style w:styleId="Style_39" w:type="paragraph">
    <w:name w:val="Колонтитул"/>
    <w:link w:val="Style_39_ch"/>
    <w:pPr>
      <w:widowControl w:val="1"/>
      <w:spacing w:after="160" w:before="0" w:line="240" w:lineRule="auto"/>
      <w:ind w:firstLine="0" w:left="0" w:right="0"/>
      <w:jc w:val="both"/>
    </w:pPr>
    <w:rPr>
      <w:rFonts w:ascii="XO Thames" w:hAnsi="XO Thames"/>
      <w:color w:val="000000"/>
      <w:spacing w:val="0"/>
      <w:sz w:val="20"/>
    </w:rPr>
  </w:style>
  <w:style w:styleId="Style_39_ch" w:type="character">
    <w:name w:val="Колонтитул"/>
    <w:link w:val="Style_39"/>
    <w:rPr>
      <w:rFonts w:ascii="XO Thames" w:hAnsi="XO Thames"/>
      <w:color w:val="000000"/>
      <w:spacing w:val="0"/>
      <w:sz w:val="20"/>
    </w:rPr>
  </w:style>
  <w:style w:styleId="Style_40" w:type="paragraph">
    <w:name w:val="Contents 9"/>
    <w:link w:val="Style_40_ch"/>
    <w:rPr>
      <w:rFonts w:ascii="XO Thames" w:hAnsi="XO Thames"/>
      <w:sz w:val="28"/>
    </w:rPr>
  </w:style>
  <w:style w:styleId="Style_40_ch" w:type="character">
    <w:name w:val="Contents 9"/>
    <w:link w:val="Style_40"/>
    <w:rPr>
      <w:rFonts w:ascii="XO Thames" w:hAnsi="XO Thames"/>
      <w:sz w:val="28"/>
    </w:rPr>
  </w:style>
  <w:style w:styleId="Style_41" w:type="paragraph">
    <w:name w:val="toc 9"/>
    <w:next w:val="Style_1"/>
    <w:link w:val="Style_41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41_ch" w:type="character">
    <w:name w:val="toc 9"/>
    <w:link w:val="Style_41"/>
    <w:rPr>
      <w:rFonts w:ascii="XO Thames" w:hAnsi="XO Thames"/>
      <w:color w:val="000000"/>
      <w:spacing w:val="0"/>
      <w:sz w:val="28"/>
    </w:rPr>
  </w:style>
  <w:style w:styleId="Style_42" w:type="paragraph">
    <w:name w:val="Title"/>
    <w:next w:val="Style_1"/>
    <w:link w:val="Style_42_ch"/>
    <w:pPr>
      <w:widowControl w:val="1"/>
      <w:spacing w:after="567" w:before="567" w:line="264" w:lineRule="auto"/>
      <w:ind w:firstLine="0" w:left="0" w:right="0"/>
      <w:jc w:val="center"/>
    </w:pPr>
    <w:rPr>
      <w:rFonts w:ascii="XO Thames" w:hAnsi="XO Thames"/>
      <w:b w:val="1"/>
      <w:caps w:val="1"/>
      <w:color w:val="000000"/>
      <w:spacing w:val="0"/>
      <w:sz w:val="40"/>
    </w:rPr>
  </w:style>
  <w:style w:styleId="Style_42_ch" w:type="character">
    <w:name w:val="Title"/>
    <w:link w:val="Style_42"/>
    <w:rPr>
      <w:rFonts w:ascii="XO Thames" w:hAnsi="XO Thames"/>
      <w:b w:val="1"/>
      <w:caps w:val="1"/>
      <w:color w:val="000000"/>
      <w:spacing w:val="0"/>
      <w:sz w:val="40"/>
    </w:rPr>
  </w:style>
  <w:style w:styleId="Style_43" w:type="paragraph">
    <w:name w:val="toc 8"/>
    <w:next w:val="Style_1"/>
    <w:link w:val="Style_43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43_ch" w:type="character">
    <w:name w:val="toc 8"/>
    <w:link w:val="Style_43"/>
    <w:rPr>
      <w:rFonts w:ascii="XO Thames" w:hAnsi="XO Thames"/>
      <w:color w:val="000000"/>
      <w:spacing w:val="0"/>
      <w:sz w:val="28"/>
    </w:rPr>
  </w:style>
  <w:style w:styleId="Style_44" w:type="paragraph">
    <w:name w:val="Footer"/>
    <w:link w:val="Style_44_ch"/>
    <w:rPr>
      <w:rFonts w:ascii="Times New Roman" w:hAnsi="Times New Roman"/>
      <w:sz w:val="28"/>
    </w:rPr>
  </w:style>
  <w:style w:styleId="Style_44_ch" w:type="character">
    <w:name w:val="Footer"/>
    <w:link w:val="Style_44"/>
    <w:rPr>
      <w:rFonts w:ascii="Times New Roman" w:hAnsi="Times New Roman"/>
      <w:sz w:val="28"/>
    </w:rPr>
  </w:style>
  <w:style w:styleId="Style_45" w:type="paragraph">
    <w:name w:val="Указатель"/>
    <w:basedOn w:val="Style_1"/>
    <w:link w:val="Style_45_ch"/>
  </w:style>
  <w:style w:styleId="Style_45_ch" w:type="character">
    <w:name w:val="Указатель"/>
    <w:basedOn w:val="Style_1_ch"/>
    <w:link w:val="Style_45"/>
  </w:style>
  <w:style w:styleId="Style_46" w:type="paragraph">
    <w:name w:val="Обычный1"/>
    <w:link w:val="Style_46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6_ch" w:type="character">
    <w:name w:val="Обычный1"/>
    <w:link w:val="Style_46"/>
    <w:rPr>
      <w:rFonts w:asciiTheme="minorAscii" w:hAnsiTheme="minorHAnsi"/>
      <w:color w:val="000000"/>
      <w:spacing w:val="0"/>
      <w:sz w:val="22"/>
    </w:rPr>
  </w:style>
  <w:style w:styleId="Style_47" w:type="paragraph">
    <w:name w:val="toc 5"/>
    <w:next w:val="Style_1"/>
    <w:link w:val="Style_47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47_ch" w:type="character">
    <w:name w:val="toc 5"/>
    <w:link w:val="Style_47"/>
    <w:rPr>
      <w:rFonts w:ascii="XO Thames" w:hAnsi="XO Thames"/>
      <w:color w:val="000000"/>
      <w:spacing w:val="0"/>
      <w:sz w:val="28"/>
    </w:rPr>
  </w:style>
  <w:style w:styleId="Style_48" w:type="paragraph">
    <w:name w:val="Internet link"/>
    <w:link w:val="Style_48_ch"/>
    <w:pPr>
      <w:widowControl w:val="1"/>
      <w:spacing w:after="160" w:before="0" w:line="264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48_ch" w:type="character">
    <w:name w:val="Internet link"/>
    <w:link w:val="Style_48"/>
    <w:rPr>
      <w:rFonts w:ascii="Calibri" w:hAnsi="Calibri"/>
      <w:color w:val="0000FF"/>
      <w:spacing w:val="0"/>
      <w:sz w:val="22"/>
      <w:u w:val="single"/>
    </w:rPr>
  </w:style>
  <w:style w:styleId="Style_9" w:type="paragraph">
    <w:name w:val="Body Text"/>
    <w:basedOn w:val="Style_1"/>
    <w:link w:val="Style_9_ch"/>
    <w:pPr>
      <w:spacing w:after="140" w:before="0" w:line="276" w:lineRule="auto"/>
      <w:ind/>
    </w:pPr>
  </w:style>
  <w:style w:styleId="Style_9_ch" w:type="character">
    <w:name w:val="Body Text"/>
    <w:basedOn w:val="Style_1_ch"/>
    <w:link w:val="Style_9"/>
  </w:style>
  <w:style w:styleId="Style_49" w:type="paragraph">
    <w:name w:val="List"/>
    <w:basedOn w:val="Style_9"/>
    <w:link w:val="Style_49_ch"/>
  </w:style>
  <w:style w:styleId="Style_49_ch" w:type="character">
    <w:name w:val="List"/>
    <w:basedOn w:val="Style_9_ch"/>
    <w:link w:val="Style_49"/>
  </w:style>
  <w:style w:styleId="Style_50" w:type="paragraph">
    <w:name w:val="Subtitle"/>
    <w:link w:val="Style_50_ch"/>
    <w:uiPriority w:val="11"/>
    <w:qFormat/>
    <w:rPr>
      <w:rFonts w:ascii="XO Thames" w:hAnsi="XO Thames"/>
      <w:i w:val="1"/>
      <w:sz w:val="24"/>
    </w:rPr>
  </w:style>
  <w:style w:styleId="Style_50_ch" w:type="character">
    <w:name w:val="Subtitle"/>
    <w:link w:val="Style_50"/>
    <w:rPr>
      <w:rFonts w:ascii="XO Thames" w:hAnsi="XO Thames"/>
      <w:i w:val="1"/>
      <w:sz w:val="24"/>
    </w:rPr>
  </w:style>
  <w:style w:styleId="Style_51" w:type="paragraph">
    <w:name w:val="Title"/>
    <w:link w:val="Style_51_ch"/>
    <w:uiPriority w:val="10"/>
    <w:qFormat/>
    <w:rPr>
      <w:rFonts w:ascii="XO Thames" w:hAnsi="XO Thames"/>
      <w:b w:val="1"/>
      <w:caps w:val="1"/>
      <w:sz w:val="40"/>
    </w:rPr>
  </w:style>
  <w:style w:styleId="Style_51_ch" w:type="character">
    <w:name w:val="Title"/>
    <w:link w:val="Style_51"/>
    <w:rPr>
      <w:rFonts w:ascii="XO Thames" w:hAnsi="XO Thames"/>
      <w:b w:val="1"/>
      <w:caps w:val="1"/>
      <w:sz w:val="40"/>
    </w:rPr>
  </w:style>
  <w:style w:styleId="Style_52" w:type="paragraph">
    <w:name w:val="heading 4"/>
    <w:next w:val="Style_1"/>
    <w:link w:val="Style_52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52_ch" w:type="character">
    <w:name w:val="heading 4"/>
    <w:link w:val="Style_52"/>
    <w:rPr>
      <w:rFonts w:ascii="XO Thames" w:hAnsi="XO Thames"/>
      <w:b w:val="1"/>
      <w:color w:val="000000"/>
      <w:spacing w:val="0"/>
      <w:sz w:val="24"/>
    </w:rPr>
  </w:style>
  <w:style w:styleId="Style_53" w:type="paragraph">
    <w:name w:val="Header"/>
    <w:basedOn w:val="Style_1"/>
    <w:link w:val="Style_53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</w:style>
  <w:style w:styleId="Style_53_ch" w:type="character">
    <w:name w:val="Header"/>
    <w:basedOn w:val="Style_1_ch"/>
    <w:link w:val="Style_53"/>
  </w:style>
  <w:style w:styleId="Style_54" w:type="paragraph">
    <w:name w:val="heading 2"/>
    <w:next w:val="Style_1"/>
    <w:link w:val="Style_54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54_ch" w:type="character">
    <w:name w:val="heading 2"/>
    <w:link w:val="Style_54"/>
    <w:rPr>
      <w:rFonts w:ascii="XO Thames" w:hAnsi="XO Thames"/>
      <w:b w:val="1"/>
      <w:color w:val="000000"/>
      <w:spacing w:val="0"/>
      <w:sz w:val="28"/>
    </w:rPr>
  </w:style>
  <w:style w:styleId="Style_55" w:type="paragraph">
    <w:name w:val="Subtitle"/>
    <w:next w:val="Style_1"/>
    <w:link w:val="Style_55_ch"/>
    <w:pPr>
      <w:widowControl w:val="1"/>
      <w:spacing w:after="160" w:before="0" w:line="264" w:lineRule="auto"/>
      <w:ind w:firstLine="0" w:left="0" w:right="0"/>
      <w:jc w:val="both"/>
    </w:pPr>
    <w:rPr>
      <w:rFonts w:ascii="XO Thames" w:hAnsi="XO Thames"/>
      <w:i w:val="1"/>
      <w:color w:val="000000"/>
      <w:spacing w:val="0"/>
      <w:sz w:val="24"/>
    </w:rPr>
  </w:style>
  <w:style w:styleId="Style_55_ch" w:type="character">
    <w:name w:val="Subtitle"/>
    <w:link w:val="Style_55"/>
    <w:rPr>
      <w:rFonts w:ascii="XO Thames" w:hAnsi="XO Thames"/>
      <w:i w:val="1"/>
      <w:color w:val="000000"/>
      <w:spacing w:val="0"/>
      <w:sz w:val="24"/>
    </w:rPr>
  </w:style>
  <w:style w:styleId="Style_56" w:type="paragraph">
    <w:name w:val="Footer"/>
    <w:basedOn w:val="Style_1"/>
    <w:link w:val="Style_56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  <w:rPr>
      <w:rFonts w:ascii="Times New Roman" w:hAnsi="Times New Roman"/>
      <w:sz w:val="28"/>
    </w:rPr>
  </w:style>
  <w:style w:styleId="Style_56_ch" w:type="character">
    <w:name w:val="Footer"/>
    <w:basedOn w:val="Style_1_ch"/>
    <w:link w:val="Style_56"/>
    <w:rPr>
      <w:rFonts w:ascii="Times New Roman" w:hAnsi="Times New Roman"/>
      <w:sz w:val="28"/>
    </w:rPr>
  </w:style>
  <w:style w:default="1" w:styleId="Style_2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3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57" w:type="table">
    <w:name w:val="Сетка таблицы2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58" w:type="table">
    <w:name w:val="Сетка таблицы1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4.png" Type="http://schemas.openxmlformats.org/officeDocument/2006/relationships/image"/>
  <Relationship Id="rId4" Target="media/3.jpeg" Type="http://schemas.openxmlformats.org/officeDocument/2006/relationships/image"/>
  <Relationship Id="rId3" Target="media/2.emf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2024-02-28T01:51:20Z</dcterms:modified>
</cp:coreProperties>
</file>