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Ind w:type="dxa" w:w="4644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5103"/>
      </w:tblGrid>
      <w:tr>
        <w:tc>
          <w:tcPr>
            <w:tcW w:type="dxa" w:w="5103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1000000">
            <w:pPr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Доклад об антимонопольном </w:t>
      </w:r>
      <w:r>
        <w:rPr>
          <w:rFonts w:ascii="Times New Roman" w:hAnsi="Times New Roman"/>
          <w:b w:val="1"/>
          <w:sz w:val="28"/>
        </w:rPr>
        <w:t>комплаенсе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 Министерстве рыбного хозяйства Камчатского края за 20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>3</w:t>
      </w:r>
      <w:r>
        <w:rPr>
          <w:rFonts w:ascii="Times New Roman" w:hAnsi="Times New Roman"/>
          <w:b w:val="1"/>
          <w:sz w:val="28"/>
        </w:rPr>
        <w:t xml:space="preserve"> год</w:t>
      </w:r>
    </w:p>
    <w:p w14:paraId="05000000">
      <w:pPr>
        <w:spacing w:after="0" w:line="360" w:lineRule="auto"/>
        <w:ind/>
        <w:rPr>
          <w:rFonts w:ascii="Times New Roman" w:hAnsi="Times New Roman"/>
          <w:sz w:val="28"/>
        </w:rPr>
      </w:pPr>
    </w:p>
    <w:p w14:paraId="06000000">
      <w:p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Указом Президента Российской Федерации от 27.12.2017 № 618 «Об основных направлениях государственной политики по развитию конкуренции» Министерством рыбного хозяйства Камчатского края (далее - Министерство) в 2019 году принят приказ от 15.02.2019 № 6-м «Об организации системы внутреннего обеспечения соответствия требованиям антимонопольного законодательства в Министерстве», которым определен порядок организации антимонопольного </w:t>
      </w:r>
      <w:r>
        <w:rPr>
          <w:rFonts w:ascii="Times New Roman" w:hAnsi="Times New Roman"/>
          <w:sz w:val="28"/>
        </w:rPr>
        <w:t>комплаенса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Также утвержден План мероприятий по ор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анизации Министерством антимонопольного </w:t>
      </w:r>
      <w:r>
        <w:rPr>
          <w:rFonts w:ascii="Times New Roman" w:hAnsi="Times New Roman"/>
          <w:sz w:val="28"/>
        </w:rPr>
        <w:t>комплаенса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Исходя из целей и задач антимонопольного </w:t>
      </w:r>
      <w:r>
        <w:rPr>
          <w:rFonts w:ascii="Times New Roman" w:hAnsi="Times New Roman"/>
          <w:sz w:val="28"/>
        </w:rPr>
        <w:t>комплаенса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 исполнение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Плана мероприятий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Министерством проведены следующие мероприятия:</w:t>
      </w:r>
    </w:p>
    <w:p w14:paraId="07000000">
      <w:pPr>
        <w:pStyle w:val="Style_2"/>
        <w:numPr>
          <w:ilvl w:val="0"/>
          <w:numId w:val="1"/>
        </w:num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 сбор сведений о наличии в Министерстве нарушений антимонопольного законодательства</w:t>
      </w:r>
      <w:r>
        <w:rPr>
          <w:rFonts w:ascii="Times New Roman" w:hAnsi="Times New Roman"/>
          <w:sz w:val="28"/>
        </w:rPr>
        <w:t xml:space="preserve"> за период 20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 гг., нарушений антимонопольного законодательства в Министерстве</w:t>
      </w:r>
      <w:r>
        <w:rPr>
          <w:rFonts w:ascii="Times New Roman" w:hAnsi="Times New Roman"/>
          <w:sz w:val="28"/>
        </w:rPr>
        <w:t xml:space="preserve"> в отчетный период не выявлено</w:t>
      </w:r>
      <w:r>
        <w:rPr>
          <w:rFonts w:ascii="Times New Roman" w:hAnsi="Times New Roman"/>
          <w:sz w:val="28"/>
        </w:rPr>
        <w:t>.</w:t>
      </w:r>
    </w:p>
    <w:p w14:paraId="08000000">
      <w:pPr>
        <w:pStyle w:val="Style_2"/>
        <w:numPr>
          <w:ilvl w:val="0"/>
          <w:numId w:val="1"/>
        </w:num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проведения Министерством анализа региональных нормативных правовых актов в сфере рыболовства и сохранения водных биологических ресурсов, Министерством сформирован Перечень региональных нормативных правовых актов и размещен на странице Министерства официального сайта исполнительных органов Камчатского края в сети Интернет (далее – официальный сайт)</w:t>
      </w:r>
      <w:r>
        <w:rPr>
          <w:rFonts w:ascii="Times New Roman" w:hAnsi="Times New Roman"/>
          <w:sz w:val="28"/>
        </w:rPr>
        <w:t xml:space="preserve"> с уведомлением о начале сбора замечаний и предложений организаций и граждан в целях проведения публичных консультаций. По итогам проведения публичных консультаций, замечания и предложения по действующим нормативным правовым актам в Министерство не поступил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. Все основные нормативные правовые акты</w:t>
      </w:r>
      <w:r>
        <w:rPr>
          <w:rFonts w:ascii="Times New Roman" w:hAnsi="Times New Roman"/>
          <w:sz w:val="28"/>
        </w:rPr>
        <w:t xml:space="preserve"> в сфере рыболовства</w:t>
      </w:r>
      <w:r>
        <w:rPr>
          <w:rFonts w:ascii="Times New Roman" w:hAnsi="Times New Roman"/>
          <w:sz w:val="28"/>
        </w:rPr>
        <w:t xml:space="preserve">, регламентирующие </w:t>
      </w:r>
      <w:r>
        <w:rPr>
          <w:rFonts w:ascii="Times New Roman" w:hAnsi="Times New Roman"/>
          <w:sz w:val="28"/>
        </w:rPr>
        <w:t>порядок осуществления основных полномочий Министерства</w:t>
      </w:r>
      <w:r>
        <w:rPr>
          <w:rFonts w:ascii="Times New Roman" w:hAnsi="Times New Roman"/>
          <w:sz w:val="28"/>
        </w:rPr>
        <w:t xml:space="preserve"> - федерального уровня, в связи с чем, провести анализ соответствующих документов с публичными консультациями на уровне Министерства не представляется возможным.</w:t>
      </w:r>
    </w:p>
    <w:p w14:paraId="09000000">
      <w:pPr>
        <w:pStyle w:val="Style_2"/>
        <w:numPr>
          <w:ilvl w:val="0"/>
          <w:numId w:val="1"/>
        </w:num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Министерством проведен мониторинг и анализ практики применения антимонопольного законодательства в Министерстве, нарушений антимонопольного законодательства в действиях и решениях Министерства в отчетном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 не выявлено</w:t>
      </w:r>
      <w:r>
        <w:rPr>
          <w:rFonts w:ascii="Times New Roman" w:hAnsi="Times New Roman"/>
          <w:sz w:val="28"/>
        </w:rPr>
        <w:t>, в том числе по вопросам осуществления закупок товаров, работ, услуг</w:t>
      </w:r>
      <w:r>
        <w:rPr>
          <w:rFonts w:ascii="Times New Roman" w:hAnsi="Times New Roman"/>
          <w:sz w:val="28"/>
        </w:rPr>
        <w:t>.</w:t>
      </w:r>
    </w:p>
    <w:p w14:paraId="0A000000">
      <w:pPr>
        <w:pStyle w:val="Style_2"/>
        <w:numPr>
          <w:ilvl w:val="0"/>
          <w:numId w:val="1"/>
        </w:num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анализа практики применения антимонопольного законодательства в Министерстве распределены риски нарушения антимонопольного законодательства</w:t>
      </w:r>
      <w:r>
        <w:rPr>
          <w:rFonts w:ascii="Times New Roman" w:hAnsi="Times New Roman"/>
          <w:sz w:val="28"/>
        </w:rPr>
        <w:t xml:space="preserve"> и проведена оценка рисков нарушения антимонопольного законодательства по уровням риска</w:t>
      </w:r>
      <w:r>
        <w:rPr>
          <w:rFonts w:ascii="Times New Roman" w:hAnsi="Times New Roman"/>
          <w:sz w:val="28"/>
        </w:rPr>
        <w:t>, составлена карта рисков нарушения антимонопольного законодательства в деятельности Министерства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году, включающая в себя 5 видов риск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с маловероятной возможностью их возникновения.</w:t>
      </w:r>
    </w:p>
    <w:p w14:paraId="0B000000">
      <w:pPr>
        <w:pStyle w:val="Style_2"/>
        <w:numPr>
          <w:ilvl w:val="0"/>
          <w:numId w:val="1"/>
        </w:num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 снижения и минимизации рисков нарушения антимонопольного законодательства Министерством разработан План мероприятий («дорожная карта») по снижению рисков нарушения антимонопольного законодательства в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году. В отчетном периоде Министерством реализованы мероприятия по снижению рисков. </w:t>
      </w:r>
    </w:p>
    <w:p w14:paraId="0C000000">
      <w:pPr>
        <w:pStyle w:val="Style_2"/>
        <w:numPr>
          <w:ilvl w:val="0"/>
          <w:numId w:val="1"/>
        </w:numPr>
        <w:spacing w:after="0" w:line="36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утвержденной Министерством методикой расчета ключевых показателей эффективности функционирования в Министерстве антимонопольного </w:t>
      </w:r>
      <w:r>
        <w:rPr>
          <w:rFonts w:ascii="Times New Roman" w:hAnsi="Times New Roman"/>
          <w:sz w:val="28"/>
        </w:rPr>
        <w:t>комплаенса</w:t>
      </w:r>
      <w:r>
        <w:rPr>
          <w:rFonts w:ascii="Times New Roman" w:hAnsi="Times New Roman"/>
          <w:sz w:val="28"/>
        </w:rPr>
        <w:t xml:space="preserve"> проведена оценка достижения ключевых показателей за 20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год, по результатам которой </w:t>
      </w:r>
      <w:r>
        <w:rPr>
          <w:rFonts w:ascii="Times New Roman" w:hAnsi="Times New Roman"/>
          <w:sz w:val="28"/>
        </w:rPr>
        <w:t xml:space="preserve">суммарно определено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8</w:t>
      </w:r>
      <w:bookmarkStart w:id="1" w:name="_GoBack"/>
      <w:bookmarkEnd w:id="1"/>
      <w:r>
        <w:rPr>
          <w:rFonts w:ascii="Times New Roman" w:hAnsi="Times New Roman"/>
          <w:sz w:val="28"/>
        </w:rPr>
        <w:t>0 баллов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что соответствует «высокому уровню» оценки эффективности функционирования антимонопольного </w:t>
      </w:r>
      <w:r>
        <w:rPr>
          <w:rFonts w:ascii="Times New Roman" w:hAnsi="Times New Roman"/>
          <w:sz w:val="28"/>
        </w:rPr>
        <w:t>комплаенса</w:t>
      </w:r>
      <w:r>
        <w:rPr>
          <w:rFonts w:ascii="Times New Roman" w:hAnsi="Times New Roman"/>
          <w:sz w:val="28"/>
        </w:rPr>
        <w:t xml:space="preserve"> в Министерстве.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3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9"/>
    <w:next w:val="Style_3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3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2023-12-12T20:55:31Z</dcterms:modified>
</cp:coreProperties>
</file>