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</w:rPr>
        <w:t>5 версия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84"/>
        <w:gridCol w:w="426"/>
        <w:gridCol w:w="1985"/>
      </w:tblGrid>
      <w:tr>
        <w:trPr/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34" w:hanging="0"/>
              <w:jc w:val="center"/>
              <w:rPr>
                <w:rFonts w:ascii="Times New Roman" w:hAnsi="Times New Roman"/>
                <w:sz w:val="20"/>
              </w:rPr>
            </w:pPr>
            <w:bookmarkStart w:id="0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0"/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bookmarkStart w:id="1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</w:tr>
    </w:tbl>
    <w:p>
      <w:pPr>
        <w:pStyle w:val="Normal"/>
        <w:spacing w:lineRule="auto" w:line="276" w:before="0" w:after="0"/>
        <w:ind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2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Об утверждении Правил наблюдения за дикими животными на территории</w:t>
            </w:r>
          </w:p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Камчатского края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6 Федерального закона 24.04.1995 № 52-ФЗ «О животном мире», статьей 2 Основ государственной политики в области экологического развития России на период до 2030 года, утвержденных Президентом России от 30.04.2012, Стратегией развития туризма в Российской Федерации на период до 2035 года, утвержденной распоряжением Правительства РФ от 20.09.2019 № 2129-р, в целях сохранения естественных экологических систем, обеспечения охраны диких животных и наблюдения за дикими животными на территории Камчатского края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Правила наблюдения за дикими животными на территории Камчатского края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исполнение настоящего постановления возложить на Министра природных ресурсов и экологии Камчатского края.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713"/>
        <w:gridCol w:w="3401"/>
        <w:gridCol w:w="2666"/>
      </w:tblGrid>
      <w:tr>
        <w:trPr>
          <w:trHeight w:val="1256" w:hRule="atLeast"/>
        </w:trPr>
        <w:tc>
          <w:tcPr>
            <w:tcW w:w="37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lineRule="auto" w:line="240" w:before="0" w:after="0"/>
              <w:ind w:right="-6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</w:rPr>
        <w:t>Приложение к постановлению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>от__________№_________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наблюдения за дикими животными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Камчатского края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Правила регулируют вопросы, связанные с наблюдением за дикими животными на территории природных комплексов Камчатского края.</w:t>
      </w:r>
    </w:p>
    <w:p>
      <w:pPr>
        <w:pStyle w:val="ListParagraph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Настоящие Правила не распространяются на нахождение на территории природных комплексов лиц, которым в установленном порядке предоставлено право пользования животным миром, с целью осуществления мероприятий, предусмотренных Федеральным законом от 29.07.2009 № 209-ФЗ «Об охоте и о сохранении охотничьих ресурсов и о внесении изменений в отдельные законодательные акты Российской Федерации», Правилами охоты и Правилами проведения биотехнических мероприятий в целях сохранения охотничьих ресурсов, утвержденными приказами Минприроды России от 24.07.2020 № 477 и от 24.12.2010 № 560 соответственно. </w:t>
      </w:r>
    </w:p>
    <w:p>
      <w:pPr>
        <w:pStyle w:val="ListParagraph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Правила не распространяются на случаи наблюдения за морскими млекопитающими, в отношении которых действуют Правила посещения лежбищ морских млекопитающих и наблюдения за морскими млекопитающими на территории Камчатского края, утвержденных постановлением Правительства Камчатского края от 05.07.2021 № 285-П.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настоящих Правил используются следующие основные понятия: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дикие животные – звери и птицы, находящиеся в состоянии естественной свободы;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территории природных комплексов – общедоступные охотничьи угодья, закрепленные охотничьи угодья и иные территории, являющиеся средой обитания диких животных, за исключением особо охраняемых природных территорий федерального значения и городских лесов;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туристический лагерь</w:t>
      </w:r>
      <w:r>
        <w:rPr/>
        <w:t xml:space="preserve"> </w:t>
      </w:r>
      <w:r>
        <w:rPr>
          <w:rFonts w:ascii="Times New Roman" w:hAnsi="Times New Roman"/>
          <w:sz w:val="28"/>
        </w:rPr>
        <w:t>– привал, бивак, туристическая стоянка;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действия преднамеренного характера — любой вид проявления активности в отношении животного, целью которой было взаимодействие с животным, за исключением крайней необходимости, а также действий, указанных в пунктах 1.2 и 1.3.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Правила наблюдения за дикими животными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Камчатского края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Во избежание беспокойства и распугивания диких животных, и их возможного травмирования, запрещается приближаться к диким животным (за исключением организованного наблюдения с вышек и оборудованных площадок): мелким (суслик, сурок, белка, заяц-беляк, ондатра, норка, выдра, соболь, горностай, ласка, птицы) – менее, чем на 20 метров; средним (лисица красная, волк, росомаха, рысь) – менее, чем на 50 метров, крупным  – менее, чем на 200 м в отношении бурого медведя, лося, и менее, чем на 450 м в отношении дикого северного оленя, снежного барана.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При посещении природных комплексов запрещено: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нахождение с собаками без намордника в необходимый для насиживания и выкармливания потомства дикими птицами и наземными млекопитающими период покоя (с 1 апреля по 30 октября);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оставление пищи, пищевых отходов, бытовых отходов, которые могут привлечь диких животных;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кормление и иное приманивание диких животных;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преднамеренный контакт с дикими животными, приближение к диким животным на расстояние менее указанного в пункте 2.1 настоящего Порядка;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преграждать путь диким животным в случае их отхода из зоны встречи;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преследование диких животных, в том числе посредством применения механических транспортных средств (включая снегоходную технику) и любых летательных аппаратов (помимо случаев, указанных в пунктах 12 и 13 настоящего постановления), за исключением случаев, связанных с проведением научно-исследовательских работ, освобождением от инородных предметов на теле (пластикового мусора, веревок, емкостей);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стрелять по диким животным из любого вида огнестрельного, газового, травматического и метательного оружия;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бросать в диких животных любые предметы, или пытаться привлечь внимание животных любым способом (в том числе криком, сигналом автомобиля, музыкальными устройствами и др.); беспокоить выводковые убежища животных (гнезда, норы);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использование пиротехнических, сигнальных, звуковых, шумовых изделий в местах скопления диких животных, за исключением случаев необходимой обороны;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размещение отходов в местах обитания диких животных;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размещение туристического лагеря, стоянки авто- и мототранспортных средств, разжигание костров, хранение горюче-смазочных веществ, использование генераторов менее чем 300 м от гнезд дневных хищных птиц в период гнездования (май-июнь), колоний морских птиц  (указанное требование не распространяется на специально оборудованные согласно утвержденным схемам туристических маршрутов и положениями об ООПТ и их охранных зонах площадки для размещения кемпингов, турбаз, турстоянок, навесов с костровищами);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преднамеренное (с целью наблюдения за дикими животными) использование любых типов дронов на высоте менее 200 м, за исключением использования дронов профессиональными институтами в научно-исследовательских целях при наличии утвержденной программы научных исследований, либо использования дронов для иных целей, не связанных с наблюдением за дикими животными;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преднамеренное (с целью наблюдения за дикими животными) использование всех видов воздушного транспорта на высоте и удалении менее 500 м от диких животных, за исключением случаев учета численности диких копытных животных и бурого медведя в рамках государственного мониторинга охотничьих ресурсов.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Правила наблюдения за дикими животными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Камчатского края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использованием плавательных средств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 наблюдении за дикими животными на территории Камчатского края с использованием плавательных средств (яхт, катеров, лодок, каяков, сап-бордов) запрещается: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приближаться к диким животным на расстояние менее указанного в пункте 2.1 настоящего Порядка;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производить любые действия, ведущие к распугиванию диких животных;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преграждать путь диким животным (зверям и птицам) в случае их отхода из зоны встречи;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окружать встреченное животное (группу животных, зверей или птиц).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«Правил наблюдения за дикими животными на территории Камчатского края»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разработан в соответствии со статьями 6 Федерального закона 24.04.1995 № 52-ФЗ «О животном мире», статьей 2 Основ государственной политики в области экологического развития России на период до 2030 года, утвержденных Президентом России от 30.04.2012, Стратегией развития туризма в Российской Федерации на период до 2035 года, утвержденной распоряжением Правительства РФ от 20.09.2019 № 2129-р, в целях сохранения естественных экологических систем, обеспечения охраны диких животных и наблюдения за дикими животными на территории Камчатского края, а также в целях предупреждения синантропизации диких животных, которая может повлечь изменение санитарно-эпидемиологической обстановки в Камчатском крае. Кроме того, проектом устраняется возможность (развлекательного/увеселительного) кормления диких животных самодеятельными путешественниками и туристами во всех категориях местообитаний диких животных. Также, проект способствует снижению количества бытового мусора и пищевых отходов, оставляемых на природных территориях.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разработан Министерством природных ресурсов и экологии Камчатского края в соответствии с частями 21 и 25.1.4 Положения, утвержденного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3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в срок с __.__.2023 по ___.___.2023. По окончании данного срока экспертных заключений 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размещался на региональном портале </w:t>
      </w:r>
      <w:r>
        <w:fldChar w:fldCharType="begin"/>
      </w:r>
      <w:r>
        <w:rPr>
          <w:rStyle w:val="Style13"/>
          <w:sz w:val="28"/>
          <w:szCs w:val="28"/>
          <w:rFonts w:ascii="Times New Roman" w:hAnsi="Times New Roman"/>
        </w:rPr>
        <w:instrText xml:space="preserve"> HYPERLINK "http://regulation.kamgov.ru/projects" \l "npa=6252"</w:instrText>
      </w:r>
      <w:r>
        <w:rPr>
          <w:rStyle w:val="Style13"/>
          <w:sz w:val="28"/>
          <w:szCs w:val="28"/>
          <w:rFonts w:ascii="Times New Roman" w:hAnsi="Times New Roman"/>
        </w:rPr>
        <w:fldChar w:fldCharType="separate"/>
      </w:r>
      <w:r>
        <w:rPr>
          <w:rStyle w:val="Style13"/>
          <w:rFonts w:ascii="Times New Roman" w:hAnsi="Times New Roman"/>
          <w:sz w:val="28"/>
          <w:szCs w:val="28"/>
        </w:rPr>
        <w:t>http://regulation.kamgov.ru/</w:t>
      </w:r>
      <w:r>
        <w:rPr>
          <w:rStyle w:val="Style13"/>
          <w:sz w:val="28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целью проведения публичных консультаций                   и оценки регулирующего воздействия в следующие периоды: с 12.09.2022 по 21.10.2022; с 28.10.2022 по 09.12.2022; с 15.12.2022 по 31.01.2023; с 08.02.2023 по 28.03.2023; с 06.04.2023 по 24.05.2023. Уведомление о проведении обсуждений (поскольку затрагивает интересы лиц, занятых в сфере охотничьего хозяйства), при размещении на региональном портале направлялось на электронные адреса экспертов из числа представителей охотпредприятий Камчатского края, а также в адрес Министерства туризма Камчатского края и Министерства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экономического развития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предварительной оценки регулирующего воздействия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 окончании обсуждения _____________________________________. Получено заключение об оценке регулирующего воздействия от _______ № 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418" w:right="851" w:gutter="0" w:header="709" w:top="126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basedOn w:val="Normal"/>
    <w:link w:val="22"/>
    <w:uiPriority w:val="9"/>
    <w:qFormat/>
    <w:pPr>
      <w:spacing w:lineRule="auto" w:line="240" w:beforeAutospacing="1" w:afterAutospacing="1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9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0" w:customStyle="1">
    <w:name w:val="Верхний колонтитул Знак"/>
    <w:basedOn w:val="11"/>
    <w:qFormat/>
    <w:rPr/>
  </w:style>
  <w:style w:type="character" w:styleId="Style11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2" w:customStyle="1">
    <w:name w:val="Абзац списка Знак"/>
    <w:basedOn w:val="11"/>
    <w:link w:val="ListParagraph"/>
    <w:qFormat/>
    <w:rPr/>
  </w:style>
  <w:style w:type="character" w:styleId="Style13">
    <w:name w:val="Hyperlink"/>
    <w:basedOn w:val="DefaultParagraphFont"/>
    <w:link w:val="14"/>
    <w:uiPriority w:val="99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Style14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5" w:customStyle="1">
    <w:name w:val="Подзаголовок Знак"/>
    <w:qFormat/>
    <w:rPr>
      <w:rFonts w:ascii="XO Thames" w:hAnsi="XO Thames"/>
      <w:i/>
      <w:sz w:val="24"/>
    </w:rPr>
  </w:style>
  <w:style w:type="character" w:styleId="Style16" w:customStyle="1">
    <w:name w:val="Заголовок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basedOn w:val="11"/>
    <w:qFormat/>
    <w:rPr>
      <w:rFonts w:ascii="Times New Roman" w:hAnsi="Times New Roman"/>
      <w:b/>
      <w:sz w:val="3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2" w:customStyle="1">
    <w:name w:val="Колонтитул"/>
    <w:qFormat/>
    <w:pPr>
      <w:widowControl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Style11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12"/>
    <w:qFormat/>
    <w:pPr>
      <w:spacing w:before="0" w:after="160"/>
      <w:ind w:left="720" w:hanging="0"/>
      <w:contextualSpacing/>
    </w:pPr>
    <w:rPr/>
  </w:style>
  <w:style w:type="paragraph" w:styleId="14" w:customStyle="1">
    <w:name w:val="Гиперссылка1"/>
    <w:basedOn w:val="15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24">
    <w:name w:val="Footer"/>
    <w:basedOn w:val="Normal"/>
    <w:link w:val="Style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91">
    <w:name w:val="TOC 9"/>
    <w:next w:val="Normal"/>
    <w:link w:val="9"/>
    <w:uiPriority w:val="39"/>
    <w:pPr>
      <w:widowControl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Subtitle"/>
    <w:next w:val="Normal"/>
    <w:link w:val="Style15"/>
    <w:uiPriority w:val="11"/>
    <w:qFormat/>
    <w:pPr>
      <w:widowControl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Title"/>
    <w:next w:val="Normal"/>
    <w:link w:val="Style16"/>
    <w:uiPriority w:val="10"/>
    <w:qFormat/>
    <w:pPr>
      <w:widowControl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E9CB031C8AC22B4E8B778D87A17C6A788FEB89D0ACE661A236A4612441712DC155BDE3725D6418B331FC1C03637FD60D9r0t5B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LibreOffice/7.4.4.2$Linux_X86_64 LibreOffice_project/40$Build-2</Application>
  <AppVersion>15.0000</AppVersion>
  <Pages>6</Pages>
  <Words>1287</Words>
  <Characters>9059</Characters>
  <CharactersWithSpaces>10454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2023-04-05T21:54:00Z</dcterms:created>
  <dc:creator/>
  <dc:description/>
  <dc:language>ru-RU</dc:language>
  <cp:lastModifiedBy/>
  <cp:lastPrinted>2023-06-23T11:31:39Z</cp:lastPrinted>
  <dcterms:modified xsi:type="dcterms:W3CDTF">2023-06-23T11:31:43Z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