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ЭКОНОМИЧЕСКОГО РАЗВИТИЯ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-284" w:right="5528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814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 внесении изменений в приказ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нестационарных торговых объектов»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приказ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следующие изменения: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со статьей 10 Федерального закона от 28.12.2009</w:t>
      </w:r>
      <w:r>
        <w:rPr/>
        <w:br/>
      </w:r>
      <w:r>
        <w:rPr>
          <w:rFonts w:ascii="Times New Roman" w:hAnsi="Times New Roman"/>
          <w:sz w:val="28"/>
        </w:rPr>
        <w:t>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торговли», постановлением Губернатора Камчатского края от 09.11.2012 № 207 «О структуре исполнительных органов государственной власти Камчатского края», постановлением Правительства Камчатского края от 27.12.2012 № 590-П «Об утверждении Положения о Министерстве экономического развития Камчатского края»;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изложить в редакции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через 10 дней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3543"/>
        <w:gridCol w:w="2834"/>
      </w:tblGrid>
      <w:tr>
        <w:trPr>
          <w:trHeight w:val="66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А.С. Гончаров</w:t>
            </w:r>
          </w:p>
        </w:tc>
      </w:tr>
    </w:tbl>
    <w:p>
      <w:pPr>
        <w:pStyle w:val="Normal"/>
        <w:spacing w:lineRule="auto" w:line="240" w:before="0" w:after="0"/>
        <w:ind w:left="0" w:right="-116" w:firstLine="2694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ind w:left="4819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>
      <w:pPr>
        <w:pStyle w:val="Normal"/>
        <w:widowControl w:val="false"/>
        <w:spacing w:lineRule="auto" w:line="240" w:before="0" w:after="0"/>
        <w:ind w:left="4819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</w:t>
      </w:r>
    </w:p>
    <w:p>
      <w:pPr>
        <w:pStyle w:val="Normal"/>
        <w:widowControl w:val="false"/>
        <w:spacing w:lineRule="auto" w:line="240" w:before="0" w:after="0"/>
        <w:ind w:left="4819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 торговли Камчатского края</w:t>
      </w:r>
    </w:p>
    <w:tbl>
      <w:tblPr>
        <w:tblStyle w:val="Style_3"/>
        <w:tblW w:w="4817" w:type="dxa"/>
        <w:jc w:val="left"/>
        <w:tblInd w:w="4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69"/>
        <w:gridCol w:w="486"/>
        <w:gridCol w:w="1982"/>
      </w:tblGrid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u w:val="single"/>
              </w:rPr>
              <w:t>23.05.2014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u w:val="single"/>
              </w:rPr>
              <w:t>290-П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1562" w:firstLine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Приказу</w:t>
      </w:r>
    </w:p>
    <w:p>
      <w:pPr>
        <w:pStyle w:val="Normal"/>
        <w:widowControl w:val="false"/>
        <w:spacing w:lineRule="auto" w:line="240" w:before="0" w:after="0"/>
        <w:ind w:left="4819" w:right="423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</w:p>
    <w:tbl>
      <w:tblPr>
        <w:tblStyle w:val="Style_3"/>
        <w:tblW w:w="4817" w:type="dxa"/>
        <w:jc w:val="left"/>
        <w:tblInd w:w="4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69"/>
        <w:gridCol w:w="486"/>
        <w:gridCol w:w="1982"/>
      </w:tblGrid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u w:val="single"/>
              </w:rPr>
              <w:t>Дата регистрации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u w:val="single"/>
              </w:rPr>
              <w:t>Номер документа</w:t>
            </w:r>
          </w:p>
        </w:tc>
      </w:tr>
    </w:tbl>
    <w:p>
      <w:pPr>
        <w:pStyle w:val="Normal"/>
        <w:spacing w:lineRule="auto" w:line="240" w:before="0" w:after="0"/>
        <w:ind w:left="0" w:right="0" w:firstLine="425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разработки и утверждения органами местного самоуправления муниципальных образований в Камчатском крае схемы размещения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color w:val="000000"/>
          <w:sz w:val="28"/>
        </w:rPr>
        <w:t>нестационарных торговых объектов</w:t>
      </w:r>
      <w:r>
        <w:rPr>
          <w:rFonts w:ascii="Times New Roman" w:hAnsi="Times New Roman"/>
          <w:b w:val="false"/>
          <w:sz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Настоящий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(далее – Порядок) разработан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21.12.2021 № 414-ФЗ «Об общих принципах организации публичной власти в субъектах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 и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Для целей настоящего Порядка используются следующие понятия: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схема размещения нестационарных торговых объектов (далее – схема) – документ, содержащий информацию о местах размещения нестационарных торговых объектов на территории муниципального образования в Камчатском крае, оформленный в виде таблицы, содержащий информацию: номер по порядку; место размещения (адресный ориентир) нестационарного торгового объекта; площадь земельного участка; площадь нестационарного торгового объекта; вид собственности земельного участка, здания, сооружения, где расположен нестационарный торговый объект; специализация объекта: универсальный (с указанием категории реализуемого товара – продовольственные товары, непродовольственные товары, смешанный ассортимент товаров), специализированный (с указанием класса реализуемого товара в соответствии с постановлением Правительства Камчатского края от 09.01.2019 № 1-П (ред. от 28.11.2022 № 618-П), общественное питание (с указанием группы реализуемых напитков), бытовые услуги (с указанием вида оказываемых бытовых услуг); тип нестационарного торгового объекта; период размещения нестационарного торгового объекта (круглогодичное, сезонное).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органом местного самоуправления по согласованию с федеральным исполнительным органом или исполнительным органом Камчатского края, осуществляющими полномочия собственника имущества,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Схема разрабатывается и утверждается органом местного самоуправления городского округа, городского или сельского поселения, муниципального округа, муниципального района (в части разработки и утверждения схемы на межселенных территориях), определенным в соответствии с уставом муниципального образования (далее – уполномоченный орган), в соответствии с настоящим Порядком.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Схема, и вносимые в нее изменения, утверждаются правовым актом органа местного самоуправления, принимаемым в порядке, установленном уставом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Требования настоящего Порядка не распространяются на отношения, связанные с размещением: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нестационарных торговых объектов, находящихся на территориях розничных рынков и ярмарок;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нестационарных торговых объектов при проведении разовых, праздничных, общественно-политических, культурно-массовых, спортивных и других мероприятий, имеющих временный характер.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Порядок разработан в целях: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в Камчатском крае;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соблюдения прав и законных интересов юридических лиц, индивидуальных предпринимателей,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 (далее – субъекты малого и среднего предпринимательства), осуществляющих торговую деятельность в нестационарных торговых объектах;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обеспечения безопасности для жизни и здоровья населения при размещении нестационарных торговых объектов;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формирования торговой инфраструктуры с учетом видов и типов торговых объектов, форм и способов торговли;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повышения доступности товаров для населения.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Схема разрабатывается с учетом: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необходимости обеспечения устойчивого развития территорий муниципальных образований в Камчатском крае, в том числе с учетом генеральных планов городских округов, генеральных планов городских поселений и генеральных планов сельских поселений, установленных правил землепользования и застройки, документации по планировке территорий;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необходимости достижения нормативов минимальной обеспеченности населения площадью торговых объектов.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При разработке схемы следует руководствоваться следующими принципами: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схемой должно предусматриваться размещение не менее шестидесяти процентов нестационарных торговых объектов от общего количества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утверждение схемы,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нестационарные торговые объекты должны размещаться с учетом обеспечения свободного движения пешеходов и доступа потребителей к объектам торговли и не должны ухудшать условия проживания и отдыха населения жилых массивов;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не допускается размещение нестационарных торговых объектов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Уполномоченный орган разрабатывает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в соответствии с частями 9, 10 настоящего Порядка по форме согласно приложению к настоящему Порядку.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Проект схемы до ее утверждения подлежит согласованию: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 органами местного самоуправления муниципального образования,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 координационным или совещательным органом в области развития малого и среднего предпринимательства, созданным при органе местного самоуправления.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Утвержденную схему в электронном виде уполномоченный орган в течение 10 дней направляет в Министерство экономического развития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Утвержденная схема, а также вносимые в нее изменения подлежат официальному опубликованию в порядке, установленном для официального опубликования муниципальных правовых актов, а также размещению на официальных сайтах Министерства экономического развития Камчатского края и органа местного самоуправления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Изменения и дополнения в схему вносятся в соответствии с частью 6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 Основаниями для внесения изменений или дополнений в схему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новая застройка районов, микрорайонов муниципальных образований в Камчатском крае;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ремонт и реконструкция автомобильных дорог;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прекращение или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поступление предложений от территориальных федеральных исполнительных органов, исполнительных органов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 а также от заинтересованных юридических лиц, индивидуальных предпринимателей;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изменение сведений о конкретном нестационарном торговом объекте и изменении условий, указанных в форме схемы, прилагаемой к настоящему Порядку;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реализация мероприятий, предусмотренных целевыми программами развития торговли соответствующих муниципальных образований в Камчатском крае, развития торговли Камчатского края, а также программой социально-экономического развития Камчатского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изъятие земельных участков, на которых размещены нестационарные торговые объекты, для государственных или муниципальных нужд;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изменение градостроительных регламентов;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выявление нарушений при размещении нестационарных торговых объектов норм действующего федерального и (или) регионального земельного законодательства, законодательства в сфере градостроительной деятельности, а также требований, предусмотренных законодательством Российской Федерации о защите прав потребителей в области обеспечения санитарно-эпидемиологического благополучия, о пожарной безопасности, в области охраны окружающей среды и ограничений, установленных в сфере оборота табачных изделий, пива и напитков, изготовленных на его основе, требований настоящего Порядка.</w:t>
      </w:r>
    </w:p>
    <w:p>
      <w:pPr>
        <w:sectPr>
          <w:headerReference w:type="default" r:id="rId3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Утвержденные нормативы минимальной обеспеченности населения площадью торговых объектов не могут служить основанием для пересмотра размещения нестационарных торговых объектов, строительство и реконструкция которых начаты либо завершены до утверждения указанных нормативов.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93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к Порядку</w:t>
      </w:r>
    </w:p>
    <w:p>
      <w:pPr>
        <w:pStyle w:val="Normal"/>
        <w:spacing w:lineRule="auto" w:line="240" w:before="0" w:after="0"/>
        <w:ind w:left="7937" w:right="0" w:hang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разработки и утверждения органами местного самоуправления муниципальных образований в Камчатском крае </w:t>
      </w:r>
    </w:p>
    <w:p>
      <w:pPr>
        <w:pStyle w:val="Normal"/>
        <w:spacing w:lineRule="auto" w:line="240" w:before="0" w:after="0"/>
        <w:ind w:left="7937" w:right="0" w:hang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схемы размещения нестационарных торговых объектов</w:t>
      </w:r>
    </w:p>
    <w:p>
      <w:pPr>
        <w:pStyle w:val="Normal"/>
        <w:spacing w:lineRule="auto" w:line="240" w:before="0" w:after="0"/>
        <w:ind w:left="7937" w:right="0" w:hang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7937" w:right="0" w:hang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4110" w:right="0" w:hanging="354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Схема</w:t>
      </w:r>
    </w:p>
    <w:p>
      <w:pPr>
        <w:pStyle w:val="Normal"/>
        <w:spacing w:lineRule="auto" w:line="240" w:before="0" w:after="0"/>
        <w:ind w:left="4535" w:right="0" w:hanging="354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размещения нестационарных торговых объектов на территории</w:t>
      </w:r>
    </w:p>
    <w:p>
      <w:pPr>
        <w:pStyle w:val="Normal"/>
        <w:spacing w:lineRule="auto" w:line="240" w:before="0" w:after="0"/>
        <w:ind w:left="4535" w:right="0" w:hanging="354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</w:rPr>
        <w:t>_____________________________________________</w:t>
      </w:r>
    </w:p>
    <w:p>
      <w:pPr>
        <w:pStyle w:val="Normal"/>
        <w:spacing w:lineRule="auto" w:line="240" w:before="0" w:after="0"/>
        <w:ind w:left="4535" w:right="0" w:hanging="354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left="4535" w:right="0" w:hanging="354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tbl>
      <w:tblPr>
        <w:tblW w:w="157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750"/>
        <w:gridCol w:w="1276"/>
        <w:gridCol w:w="1829"/>
        <w:gridCol w:w="2776"/>
        <w:gridCol w:w="2369"/>
        <w:gridCol w:w="1864"/>
        <w:gridCol w:w="2400"/>
      </w:tblGrid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торгового объекта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собственности земельного участка, здания, сооружения, где расположен нестационарный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объект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Специализация (универсальный, специализированный, общественное питание, бытовые услуги)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 торгового объекта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торгового 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(круглогодичное, сезонное)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>
      <w:pPr>
        <w:pStyle w:val="Normal"/>
        <w:spacing w:lineRule="auto" w:line="240" w:before="0" w:after="0"/>
        <w:ind w:left="4819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».</w:t>
      </w:r>
    </w:p>
    <w:sectPr>
      <w:headerReference w:type="default" r:id="rId4"/>
      <w:type w:val="nextPage"/>
      <w:pgSz w:orient="landscape" w:w="16838" w:h="11906"/>
      <w:pgMar w:left="567" w:right="691" w:gutter="0" w:header="709" w:top="1134" w:footer="0" w:bottom="567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201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Heading5">
    <w:name w:val="Heading 5"/>
    <w:qFormat/>
    <w:rPr>
      <w:rFonts w:ascii="XO Thames" w:hAnsi="XO Thames"/>
      <w:b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1">
    <w:name w:val="Обычный1"/>
    <w:link w:val="15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12">
    <w:name w:val="Основной шрифт абзаца1"/>
    <w:link w:val="16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13">
    <w:name w:val="Гиперссылка1"/>
    <w:basedOn w:val="12"/>
    <w:link w:val="17"/>
    <w:qFormat/>
    <w:rPr>
      <w:color w:val="0563C1" w:themeColor="hyperlink"/>
      <w:u w:val="single"/>
    </w:rPr>
  </w:style>
  <w:style w:type="character" w:styleId="Header">
    <w:name w:val="Header"/>
    <w:qFormat/>
    <w:rPr/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бычный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сновной шрифт абзаца1"/>
    <w:link w:val="1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7">
    <w:name w:val="Гиперссылка1"/>
    <w:basedOn w:val="16"/>
    <w:link w:val="13"/>
    <w:qFormat/>
    <w:pPr/>
    <w:rPr>
      <w:color w:val="0563C1" w:themeColor="hyperlink"/>
      <w:u w:val="single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0">
    <w:name w:val="Содержимое врезки"/>
    <w:basedOn w:val="Normal"/>
    <w:qFormat/>
    <w:pPr/>
    <w:rPr/>
  </w:style>
  <w:style w:type="table" w:styleId="Style_31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2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8</Pages>
  <Words>1722</Words>
  <Characters>13540</Characters>
  <CharactersWithSpaces>15156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2023-06-01T02:38:45Z</dcterms:modified>
  <cp:revision>0</cp:revision>
  <dc:subject/>
  <dc:title/>
</cp:coreProperties>
</file>