
<file path=[Content_Types].xml><?xml version="1.0" encoding="utf-8"?>
<Types xmlns="http://schemas.openxmlformats.org/package/2006/content-types">
  <Default ContentType="image/jpeg" Extension="jpe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header+xml" PartName="/word/header1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3" Target="docProps/core.xml" Type="http://schemas.openxmlformats.org/package/2006/relationships/metadata/core-properties"/>
  <Relationship Id="rId2" Target="docProps/app.xml" Type="http://schemas.openxmlformats.org/officeDocument/2006/relationships/extended-properties"/>
  <Relationship Id="rId1" Target="word/document.xml" Type="http://schemas.openxmlformats.org/officeDocument/2006/relationships/officeDocument"/>
</Relationships>

</file>

<file path=word/document.xml><?xml version="1.0" encoding="utf-8"?>
<w:documen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body>
    <w:p w14:paraId="02000000">
      <w:pPr>
        <w:spacing w:after="0" w:line="276" w:lineRule="auto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32"/>
        </w:rPr>
        <w:drawing>
          <wp:anchor allowOverlap="true" behindDoc="true" distB="0" distL="114300" distR="114300" distT="0" layoutInCell="true" locked="false" relativeHeight="251658240" simplePos="false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47700" cy="807720"/>
            <wp:effectExtent b="0" l="0" r="0" t="0"/>
            <wp:wrapTight distL="114300" distR="114300" wrapText="bothSides">
              <wp:wrapPolygon>
                <wp:start x="0" y="0"/>
                <wp:lineTo x="0" y="20887"/>
                <wp:lineTo x="20965" y="20887"/>
                <wp:lineTo x="20965" y="0"/>
                <wp:lineTo x="0" y="0"/>
              </wp:wrapPolygon>
            </wp:wrapTight>
            <wp:docPr hidden="false" id="2" name="Picture 2"/>
            <a:graphic>
              <a:graphicData uri="http://schemas.openxmlformats.org/drawingml/2006/picture">
                <pic:pic>
                  <pic:nvPicPr>
                    <pic:cNvPr hidden="false" id="1" name="Picture 1"/>
                    <pic:cNvPicPr preferRelativeResize="true"/>
                  </pic:nvPicPr>
                  <pic:blipFill>
                    <a:blip r:embed="rId2"/>
                    <a:srcRect b="0" l="0" r="0" t="0"/>
                    <a:stretch/>
                  </pic:blipFill>
                  <pic:spPr>
                    <a:xfrm flipH="false" flipV="false" rot="0">
                      <a:ext cx="647700" cy="807720"/>
                    </a:xfrm>
                    <a:prstGeom prst="rect"/>
                  </pic:spPr>
                </pic:pic>
              </a:graphicData>
            </a:graphic>
          </wp:anchor>
        </w:drawing>
      </w:r>
    </w:p>
    <w:p w14:paraId="03000000">
      <w:pPr>
        <w:spacing w:after="0" w:line="360" w:lineRule="auto"/>
        <w:ind/>
        <w:jc w:val="center"/>
        <w:rPr>
          <w:rFonts w:ascii="Times New Roman" w:hAnsi="Times New Roman"/>
          <w:sz w:val="32"/>
        </w:rPr>
      </w:pPr>
    </w:p>
    <w:p w14:paraId="04000000">
      <w:pPr>
        <w:spacing w:after="0" w:line="240" w:lineRule="auto"/>
        <w:ind/>
        <w:jc w:val="center"/>
        <w:rPr>
          <w:rFonts w:ascii="Times New Roman" w:hAnsi="Times New Roman"/>
          <w:b w:val="1"/>
          <w:sz w:val="32"/>
        </w:rPr>
      </w:pPr>
    </w:p>
    <w:p w14:paraId="05000000">
      <w:pPr>
        <w:spacing w:after="0" w:line="240" w:lineRule="auto"/>
        <w:ind/>
        <w:rPr>
          <w:rFonts w:ascii="Times New Roman" w:hAnsi="Times New Roman"/>
          <w:b w:val="1"/>
          <w:sz w:val="32"/>
        </w:rPr>
      </w:pPr>
    </w:p>
    <w:p w14:paraId="06000000">
      <w:pPr>
        <w:spacing w:after="0" w:line="240" w:lineRule="auto"/>
        <w:ind/>
        <w:jc w:val="center"/>
        <w:rPr>
          <w:rFonts w:ascii="Times New Roman" w:hAnsi="Times New Roman"/>
          <w:b w:val="1"/>
          <w:sz w:val="32"/>
        </w:rPr>
      </w:pPr>
      <w:r>
        <w:rPr>
          <w:rFonts w:ascii="Times New Roman" w:hAnsi="Times New Roman"/>
          <w:b w:val="1"/>
          <w:sz w:val="32"/>
        </w:rPr>
        <w:t>П О С Т А Н О В Л Е Н И Е</w:t>
      </w:r>
    </w:p>
    <w:p w14:paraId="07000000">
      <w:pPr>
        <w:spacing w:after="0" w:line="240" w:lineRule="auto"/>
        <w:ind/>
        <w:jc w:val="center"/>
        <w:rPr>
          <w:rFonts w:ascii="Times New Roman" w:hAnsi="Times New Roman"/>
          <w:b w:val="1"/>
          <w:sz w:val="28"/>
        </w:rPr>
      </w:pPr>
    </w:p>
    <w:p w14:paraId="08000000">
      <w:pPr>
        <w:spacing w:after="0" w:line="240" w:lineRule="auto"/>
        <w:ind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ПРАВИТЕЛЬСТВА</w:t>
      </w:r>
    </w:p>
    <w:p w14:paraId="09000000">
      <w:pPr>
        <w:spacing w:after="0" w:line="240" w:lineRule="auto"/>
        <w:ind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КАМЧАТСКОГО КРАЯ</w:t>
      </w:r>
    </w:p>
    <w:p w14:paraId="0A000000">
      <w:pPr>
        <w:spacing w:after="0" w:line="276" w:lineRule="auto"/>
        <w:ind w:firstLine="709" w:left="0"/>
        <w:jc w:val="center"/>
        <w:rPr>
          <w:rFonts w:ascii="Times New Roman" w:hAnsi="Times New Roman"/>
          <w:sz w:val="28"/>
        </w:rPr>
      </w:pPr>
    </w:p>
    <w:tbl>
      <w:tblPr>
        <w:tblStyle w:val="Style_1"/>
        <w:tblLayout w:type="fixed"/>
        <w:tblCellMar>
          <w:left w:type="dxa" w:w="0"/>
          <w:right w:type="dxa" w:w="0"/>
        </w:tblCellMar>
      </w:tblPr>
      <w:tblGrid>
        <w:gridCol w:w="4253"/>
      </w:tblGrid>
      <w:tr>
        <w:trPr>
          <w:trHeight w:hRule="atLeast" w:val="427"/>
        </w:trPr>
        <w:tc>
          <w:tcPr>
            <w:tcW w:type="dxa" w:w="4253"/>
            <w:tcBorders>
              <w:top w:sz="4" w:val="nil"/>
              <w:left w:sz="4" w:val="nil"/>
              <w:right w:sz="4" w:val="nil"/>
            </w:tcBorders>
            <w:tcMar>
              <w:left w:type="dxa" w:w="0"/>
              <w:right w:type="dxa" w:w="0"/>
            </w:tcMar>
          </w:tcPr>
          <w:p w14:paraId="0B000000">
            <w:pPr>
              <w:spacing w:after="0" w:line="240" w:lineRule="auto"/>
              <w:ind w:hanging="142" w:left="142"/>
              <w:rPr>
                <w:rFonts w:ascii="Times New Roman" w:hAnsi="Times New Roman"/>
                <w:sz w:val="24"/>
              </w:rPr>
            </w:pPr>
            <w:bookmarkStart w:id="1" w:name="REGNUMDATESTAMP"/>
            <w:r>
              <w:rPr>
                <w:rFonts w:ascii="Times New Roman" w:hAnsi="Times New Roman"/>
                <w:color w:val="FFFFFF"/>
                <w:sz w:val="24"/>
              </w:rPr>
              <w:t>[Дата регистрации] № [Номер</w:t>
            </w:r>
            <w:r>
              <w:rPr>
                <w:rFonts w:ascii="Times New Roman" w:hAnsi="Times New Roman"/>
                <w:color w:val="FFFFFF"/>
                <w:sz w:val="20"/>
              </w:rPr>
              <w:t xml:space="preserve"> документа</w:t>
            </w:r>
            <w:r>
              <w:rPr>
                <w:rFonts w:ascii="Times New Roman" w:hAnsi="Times New Roman"/>
                <w:color w:val="FFFFFF"/>
                <w:sz w:val="24"/>
              </w:rPr>
              <w:t>]</w:t>
            </w:r>
            <w:bookmarkEnd w:id="1"/>
          </w:p>
        </w:tc>
      </w:tr>
      <w:tr>
        <w:trPr>
          <w:trHeight w:hRule="atLeast" w:val="247"/>
        </w:trPr>
        <w:tc>
          <w:tcPr>
            <w:tcW w:type="dxa" w:w="4253"/>
            <w:tcBorders>
              <w:left w:sz="4" w:val="nil"/>
              <w:bottom w:sz="4" w:val="nil"/>
              <w:right w:sz="4" w:val="nil"/>
            </w:tcBorders>
            <w:tcMar>
              <w:left w:type="dxa" w:w="0"/>
              <w:right w:type="dxa" w:w="0"/>
            </w:tcMar>
          </w:tcPr>
          <w:p w14:paraId="0C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u w:val="single"/>
              </w:rPr>
            </w:pPr>
            <w:r>
              <w:rPr>
                <w:rFonts w:ascii="Times New Roman" w:hAnsi="Times New Roman"/>
              </w:rPr>
              <w:t>г. Петропавловск-Камчатский</w:t>
            </w:r>
          </w:p>
        </w:tc>
      </w:tr>
      <w:tr>
        <w:trPr>
          <w:trHeight w:hRule="atLeast" w:val="80"/>
        </w:trPr>
        <w:tc>
          <w:tcPr>
            <w:tcW w:type="dxa" w:w="4253"/>
            <w:tcMar>
              <w:left w:type="dxa" w:w="0"/>
              <w:right w:type="dxa" w:w="0"/>
            </w:tcMar>
          </w:tcPr>
          <w:p w14:paraId="0D00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0"/>
              </w:rPr>
            </w:pPr>
          </w:p>
        </w:tc>
      </w:tr>
    </w:tbl>
    <w:p w14:paraId="0E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tbl>
      <w:tblPr>
        <w:tblStyle w:val="Style_2"/>
        <w:tblInd w:type="dxa" w:w="-142"/>
        <w:tblBorders>
          <w:top w:sz="4" w:val="nil"/>
          <w:left w:sz="4" w:val="nil"/>
          <w:bottom w:sz="4" w:val="nil"/>
          <w:right w:sz="4" w:val="nil"/>
          <w:insideH w:sz="4" w:val="nil"/>
          <w:insideV w:sz="4" w:val="nil"/>
        </w:tblBorders>
        <w:tblLayout w:type="fixed"/>
      </w:tblPr>
      <w:tblGrid>
        <w:gridCol w:w="9755"/>
      </w:tblGrid>
      <w:tr>
        <w:tc>
          <w:tcPr>
            <w:tcW w:type="dxa" w:w="9755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F000000">
            <w:pPr>
              <w:ind w:hanging="30" w:left="30"/>
              <w:jc w:val="center"/>
              <w:rPr>
                <w:rFonts w:ascii="Times New Roman" w:hAnsi="Times New Roman"/>
                <w:b w:val="1"/>
                <w:sz w:val="28"/>
              </w:rPr>
            </w:pPr>
            <w:r>
              <w:rPr>
                <w:rFonts w:ascii="Times New Roman" w:hAnsi="Times New Roman"/>
                <w:b w:val="1"/>
                <w:sz w:val="28"/>
              </w:rPr>
              <w:t xml:space="preserve">О памятнике природы регионального значения </w:t>
            </w:r>
          </w:p>
          <w:p w14:paraId="10000000">
            <w:pPr>
              <w:ind w:hanging="30" w:left="30"/>
              <w:jc w:val="center"/>
              <w:rPr>
                <w:rFonts w:ascii="Times New Roman" w:hAnsi="Times New Roman"/>
                <w:b w:val="1"/>
                <w:sz w:val="28"/>
              </w:rPr>
            </w:pPr>
            <w:r>
              <w:rPr>
                <w:rFonts w:ascii="Times New Roman" w:hAnsi="Times New Roman"/>
                <w:b w:val="1"/>
                <w:sz w:val="28"/>
              </w:rPr>
              <w:t>«Бухта Анастасии»</w:t>
            </w:r>
          </w:p>
        </w:tc>
      </w:tr>
    </w:tbl>
    <w:p w14:paraId="11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12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13000000">
      <w:pPr>
        <w:spacing w:after="0" w:line="216" w:lineRule="auto"/>
        <w:ind w:firstLine="720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 соответствии со статьей 17 Федерального конституционного закона от 12.07.2006 № 2-ФКЗ «Об образовании в составе Российской Федерации нового субъекта Российской Федерации в результате объединения Камчатской области и Корякского автономного округа», статьями </w:t>
      </w:r>
      <w:r>
        <w:rPr>
          <w:rFonts w:ascii="Times New Roman" w:hAnsi="Times New Roman"/>
          <w:sz w:val="28"/>
        </w:rPr>
        <w:t xml:space="preserve">1, </w:t>
      </w:r>
      <w:r>
        <w:rPr>
          <w:rFonts w:ascii="Times New Roman" w:hAnsi="Times New Roman"/>
          <w:sz w:val="28"/>
        </w:rPr>
        <w:t>2</w:t>
      </w:r>
      <w:r>
        <w:rPr>
          <w:rFonts w:ascii="Times New Roman" w:hAnsi="Times New Roman"/>
          <w:sz w:val="28"/>
        </w:rPr>
        <w:t xml:space="preserve"> и</w:t>
      </w:r>
      <w:r>
        <w:rPr>
          <w:rFonts w:ascii="Times New Roman" w:hAnsi="Times New Roman"/>
          <w:sz w:val="28"/>
        </w:rPr>
        <w:t xml:space="preserve"> 26</w:t>
      </w:r>
      <w:r>
        <w:rPr>
          <w:rFonts w:ascii="Times New Roman" w:hAnsi="Times New Roman"/>
          <w:sz w:val="28"/>
        </w:rPr>
        <w:t xml:space="preserve"> Федерального закона от </w:t>
      </w:r>
      <w:r>
        <w:rPr>
          <w:rFonts w:ascii="Times New Roman" w:hAnsi="Times New Roman"/>
          <w:sz w:val="28"/>
        </w:rPr>
        <w:t>14.03.1995 № 33-ФЗ «Об особо охраняемых природных территориях», статьями 6</w:t>
      </w:r>
      <w:r>
        <w:rPr>
          <w:rFonts w:ascii="Times New Roman" w:hAnsi="Times New Roman"/>
          <w:sz w:val="28"/>
        </w:rPr>
        <w:t xml:space="preserve">, 7 и </w:t>
      </w:r>
      <w:r>
        <w:rPr>
          <w:rFonts w:ascii="Times New Roman" w:hAnsi="Times New Roman"/>
          <w:sz w:val="28"/>
        </w:rPr>
        <w:t>8 Закона Камчатского края от 29.12.2014 № 564 «Об особо охраняемых природных территориях в Камчатском крае», учитывая решение Исполнительного комитета Камчатского областного Совета народных депутатов от 28.12.1983 № 562 «О мерах по усилению охраны природы в районах интенсивного нереста лососевых рыб и местах расположения ценных природных комплексов на территории Камчатской области»,</w:t>
      </w:r>
    </w:p>
    <w:p w14:paraId="14000000">
      <w:pPr>
        <w:spacing w:after="0" w:line="216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15000000">
      <w:pPr>
        <w:spacing w:after="0" w:line="216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ПРАВИТЕЛЬСТВО ПОСТАНОВЛЯЕТ:</w:t>
      </w:r>
    </w:p>
    <w:p w14:paraId="16000000">
      <w:pPr>
        <w:spacing w:after="0" w:line="216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17000000">
      <w:pPr>
        <w:spacing w:after="0" w:line="216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1. </w:t>
      </w:r>
      <w:r>
        <w:rPr>
          <w:rFonts w:ascii="Times New Roman" w:hAnsi="Times New Roman"/>
          <w:sz w:val="28"/>
        </w:rPr>
        <w:t>Утвердить:</w:t>
      </w:r>
    </w:p>
    <w:p w14:paraId="18000000">
      <w:pPr>
        <w:spacing w:after="0" w:line="216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1) Положение о памятнике природы регионального значения «Бухта Анастасии» согласно приложению 1 к настоящему постановлению;</w:t>
      </w:r>
    </w:p>
    <w:p w14:paraId="19000000">
      <w:pPr>
        <w:spacing w:after="0" w:line="216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2) графическое описание местоположения границ памятника природы регионального значения «Бухта Анастасии» согласно приложению 2 к настоящему постановлению.</w:t>
      </w:r>
    </w:p>
    <w:p w14:paraId="1A000000">
      <w:pPr>
        <w:spacing w:after="0" w:line="216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 Настоящее постановление вступает в силу после дня его официального опубликования.</w:t>
      </w:r>
    </w:p>
    <w:p w14:paraId="1B000000">
      <w:pPr>
        <w:spacing w:after="0" w:line="216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1C000000">
      <w:pPr>
        <w:spacing w:after="0" w:line="216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1D000000">
      <w:pPr>
        <w:spacing w:after="0" w:line="216" w:lineRule="auto"/>
        <w:ind w:firstLine="709" w:left="0"/>
        <w:jc w:val="both"/>
        <w:rPr>
          <w:rFonts w:ascii="Times New Roman" w:hAnsi="Times New Roman"/>
          <w:sz w:val="28"/>
        </w:rPr>
      </w:pPr>
    </w:p>
    <w:tbl>
      <w:tblPr>
        <w:tblStyle w:val="Style_1"/>
        <w:tblInd w:type="dxa" w:w="-34"/>
        <w:tblLayout w:type="fixed"/>
        <w:tblCellMar>
          <w:left w:type="dxa" w:w="0"/>
          <w:right w:type="dxa" w:w="0"/>
        </w:tblCellMar>
      </w:tblPr>
      <w:tblGrid>
        <w:gridCol w:w="3578"/>
        <w:gridCol w:w="3544"/>
        <w:gridCol w:w="2410"/>
      </w:tblGrid>
      <w:tr>
        <w:trPr>
          <w:trHeight w:hRule="atLeast" w:val="1471"/>
        </w:trPr>
        <w:tc>
          <w:tcPr>
            <w:tcW w:type="dxa" w:w="3578"/>
            <w:shd w:fill="auto" w:val="clear"/>
            <w:tcMar>
              <w:left w:type="dxa" w:w="0"/>
              <w:right w:type="dxa" w:w="0"/>
            </w:tcMar>
          </w:tcPr>
          <w:p w14:paraId="1E000000">
            <w:pPr>
              <w:spacing w:after="0" w:line="240" w:lineRule="auto"/>
              <w:ind w:firstLine="0" w:left="30" w:right="2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8"/>
              </w:rPr>
              <w:t>Председатель Правительства Камчатского края</w:t>
            </w:r>
          </w:p>
          <w:p w14:paraId="1F000000">
            <w:pPr>
              <w:spacing w:after="0" w:line="240" w:lineRule="auto"/>
              <w:ind w:firstLine="0" w:left="30" w:right="27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544"/>
            <w:shd w:fill="auto" w:val="clear"/>
            <w:tcMar>
              <w:left w:type="dxa" w:w="0"/>
              <w:right w:type="dxa" w:w="0"/>
            </w:tcMar>
          </w:tcPr>
          <w:p w14:paraId="20000000">
            <w:pPr>
              <w:spacing w:after="0" w:line="240" w:lineRule="auto"/>
              <w:ind w:hanging="3" w:left="3"/>
              <w:rPr>
                <w:rFonts w:ascii="Times New Roman" w:hAnsi="Times New Roman"/>
                <w:color w:val="FFFFFF"/>
                <w:sz w:val="24"/>
              </w:rPr>
            </w:pPr>
            <w:bookmarkStart w:id="2" w:name="SIGNERSTAMP1"/>
            <w:r>
              <w:rPr>
                <w:rFonts w:ascii="Times New Roman" w:hAnsi="Times New Roman"/>
                <w:color w:val="FFFFFF"/>
                <w:sz w:val="24"/>
              </w:rPr>
              <w:t>[горизонтальный штамп подписи 1]</w:t>
            </w:r>
            <w:bookmarkEnd w:id="2"/>
          </w:p>
          <w:p w14:paraId="21000000">
            <w:pPr>
              <w:spacing w:after="0" w:line="240" w:lineRule="auto"/>
              <w:ind w:hanging="142" w:left="142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2410"/>
            <w:shd w:fill="auto" w:val="clear"/>
            <w:tcMar>
              <w:left w:type="dxa" w:w="0"/>
              <w:right w:type="dxa" w:w="0"/>
            </w:tcMar>
          </w:tcPr>
          <w:p w14:paraId="22000000">
            <w:pPr>
              <w:spacing w:after="0" w:line="240" w:lineRule="auto"/>
              <w:ind w:right="135"/>
              <w:jc w:val="right"/>
              <w:rPr>
                <w:rFonts w:ascii="Times New Roman" w:hAnsi="Times New Roman"/>
                <w:sz w:val="28"/>
              </w:rPr>
            </w:pPr>
          </w:p>
          <w:p w14:paraId="23000000">
            <w:pPr>
              <w:spacing w:after="0" w:line="240" w:lineRule="auto"/>
              <w:ind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8"/>
              </w:rPr>
              <w:t>Е.А. Чекин</w:t>
            </w:r>
          </w:p>
        </w:tc>
      </w:tr>
    </w:tbl>
    <w:tbl>
      <w:tblPr>
        <w:tblStyle w:val="Style_2"/>
        <w:tblLayout w:type="fixed"/>
      </w:tblPr>
      <w:tblGrid>
        <w:gridCol w:w="480"/>
        <w:gridCol w:w="480"/>
        <w:gridCol w:w="480"/>
        <w:gridCol w:w="3661"/>
        <w:gridCol w:w="480"/>
        <w:gridCol w:w="1869"/>
        <w:gridCol w:w="486"/>
        <w:gridCol w:w="1701"/>
      </w:tblGrid>
      <w:tr>
        <w:tc>
          <w:tcPr>
            <w:tcW w:type="dxa" w:w="480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24000000">
            <w:pPr>
              <w:widowControl w:val="0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0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25000000">
            <w:pPr>
              <w:widowControl w:val="0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0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26000000">
            <w:pPr>
              <w:widowControl w:val="0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661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27000000">
            <w:pPr>
              <w:widowControl w:val="0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536"/>
            <w:gridSpan w:val="4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28000000">
            <w:pPr>
              <w:widowControl w:val="0"/>
              <w:ind w:hanging="8079" w:left="8079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Приложение 1 к постановлению</w:t>
            </w:r>
          </w:p>
        </w:tc>
      </w:tr>
      <w:tr>
        <w:tc>
          <w:tcPr>
            <w:tcW w:type="dxa" w:w="480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29000000">
            <w:pPr>
              <w:widowControl w:val="0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0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2A000000">
            <w:pPr>
              <w:widowControl w:val="0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0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2B000000">
            <w:pPr>
              <w:widowControl w:val="0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661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2C000000">
            <w:pPr>
              <w:widowControl w:val="0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536"/>
            <w:gridSpan w:val="4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2D000000">
            <w:pPr>
              <w:widowControl w:val="0"/>
              <w:ind w:hanging="8079" w:left="8079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Правительства Камчатского края</w:t>
            </w:r>
          </w:p>
        </w:tc>
      </w:tr>
      <w:tr>
        <w:tc>
          <w:tcPr>
            <w:tcW w:type="dxa" w:w="480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2E000000">
            <w:pPr>
              <w:spacing w:after="60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0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2F000000">
            <w:pPr>
              <w:spacing w:after="60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0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30000000">
            <w:pPr>
              <w:spacing w:after="60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661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31000000">
            <w:pPr>
              <w:spacing w:after="60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0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32000000">
            <w:pPr>
              <w:spacing w:after="60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от</w:t>
            </w:r>
          </w:p>
        </w:tc>
        <w:tc>
          <w:tcPr>
            <w:tcW w:type="dxa" w:w="1869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33000000"/>
        </w:tc>
        <w:tc>
          <w:tcPr>
            <w:tcW w:type="dxa" w:w="486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34000000">
            <w:pPr>
              <w:spacing w:after="60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№</w:t>
            </w:r>
          </w:p>
        </w:tc>
        <w:tc>
          <w:tcPr>
            <w:tcW w:type="dxa" w:w="1701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35000000"/>
        </w:tc>
      </w:tr>
    </w:tbl>
    <w:p w14:paraId="3600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</w:p>
    <w:p w14:paraId="3700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Положение</w:t>
      </w:r>
    </w:p>
    <w:p w14:paraId="3800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о памятнике природы регионального значения </w:t>
      </w:r>
    </w:p>
    <w:p w14:paraId="3900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«Бухта Анастасии» </w:t>
      </w:r>
    </w:p>
    <w:p w14:paraId="3A00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</w:p>
    <w:p w14:paraId="3B000000">
      <w:pPr>
        <w:tabs>
          <w:tab w:leader="none" w:pos="3686" w:val="left"/>
        </w:tabs>
        <w:spacing w:after="0"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1. Общие положения</w:t>
      </w:r>
    </w:p>
    <w:p w14:paraId="3C000000">
      <w:pPr>
        <w:tabs>
          <w:tab w:leader="none" w:pos="567" w:val="left"/>
          <w:tab w:leader="none" w:pos="993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3D000000">
      <w:pPr>
        <w:tabs>
          <w:tab w:leader="none" w:pos="567" w:val="left"/>
          <w:tab w:leader="none" w:pos="993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1. Настоящее </w:t>
      </w:r>
      <w:r>
        <w:rPr>
          <w:rFonts w:ascii="Times New Roman" w:hAnsi="Times New Roman"/>
          <w:sz w:val="28"/>
        </w:rPr>
        <w:t>П</w:t>
      </w:r>
      <w:r>
        <w:rPr>
          <w:rFonts w:ascii="Times New Roman" w:hAnsi="Times New Roman"/>
          <w:sz w:val="28"/>
        </w:rPr>
        <w:t>оложение регулирует вопросы охраны и использования памятника природы регионального значения «Бухта Анастасии» (далее – Памятник природы).</w:t>
      </w:r>
    </w:p>
    <w:p w14:paraId="3E000000">
      <w:pPr>
        <w:tabs>
          <w:tab w:leader="none" w:pos="567" w:val="left"/>
          <w:tab w:leader="none" w:pos="1134" w:val="left"/>
          <w:tab w:leader="none" w:pos="1418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 Памятник природы является особо охраняемой природной территорией регионального значения в Камчатском крае и относится к объектам общенационального достояния.</w:t>
      </w:r>
    </w:p>
    <w:p w14:paraId="3F000000">
      <w:pPr>
        <w:tabs>
          <w:tab w:leader="none" w:pos="567" w:val="left"/>
          <w:tab w:leader="none" w:pos="851" w:val="left"/>
          <w:tab w:leader="none" w:pos="993" w:val="left"/>
          <w:tab w:leader="none" w:pos="1418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 Целями создания Памятника природы являются:</w:t>
      </w:r>
    </w:p>
    <w:p w14:paraId="40000000">
      <w:pPr>
        <w:tabs>
          <w:tab w:leader="none" w:pos="567" w:val="left"/>
          <w:tab w:leader="none" w:pos="1134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1) сохранение в естественном состоянии ценного в экологическом, научном, рекреационном и эстетическом отношениях уникального природного комплекса, представленного участком северо-западного побережья Берингова моря шириной 300–350 м, с высокими, обрывистыми скалистым берегами, гротами, узким галечным пляжем, </w:t>
      </w:r>
      <w:r>
        <w:rPr>
          <w:rFonts w:ascii="Times New Roman" w:hAnsi="Times New Roman"/>
          <w:sz w:val="28"/>
        </w:rPr>
        <w:t>кекурами</w:t>
      </w:r>
      <w:r>
        <w:rPr>
          <w:rFonts w:ascii="Times New Roman" w:hAnsi="Times New Roman"/>
          <w:sz w:val="28"/>
        </w:rPr>
        <w:t xml:space="preserve">, подводными камнями и скалами, расположенного в бухте Анастасия, от бухты Круглая до мыса Прибойный, как среды обитания морских млекопитающих;  </w:t>
      </w:r>
    </w:p>
    <w:p w14:paraId="41000000">
      <w:pPr>
        <w:tabs>
          <w:tab w:leader="none" w:pos="1134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2) охрана редких видов животных, растений и грибов, занесенных в </w:t>
      </w:r>
      <w:r>
        <w:rPr>
          <w:rFonts w:ascii="Times New Roman" w:hAnsi="Times New Roman"/>
          <w:sz w:val="28"/>
        </w:rPr>
        <w:t>Красную книгу Российской Федерации</w:t>
      </w:r>
      <w:r>
        <w:rPr>
          <w:rFonts w:ascii="Times New Roman" w:hAnsi="Times New Roman"/>
          <w:sz w:val="28"/>
        </w:rPr>
        <w:t xml:space="preserve"> и </w:t>
      </w:r>
      <w:r>
        <w:rPr>
          <w:rFonts w:ascii="Times New Roman" w:hAnsi="Times New Roman"/>
          <w:sz w:val="28"/>
        </w:rPr>
        <w:t>Красную книгу Камчатского края, сохранение среды их обитания;</w:t>
      </w:r>
    </w:p>
    <w:p w14:paraId="42000000">
      <w:pPr>
        <w:tabs>
          <w:tab w:leader="none" w:pos="1134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3) охраны лежбищ и залежек морских млекопитающих, прежде всего, летних лежбищ тихоокеанского моржа </w:t>
      </w:r>
      <w:r>
        <w:rPr>
          <w:rFonts w:ascii="Times New Roman" w:hAnsi="Times New Roman"/>
          <w:i w:val="1"/>
          <w:sz w:val="28"/>
        </w:rPr>
        <w:t>Odobenus</w:t>
      </w:r>
      <w:r>
        <w:rPr>
          <w:rFonts w:ascii="Times New Roman" w:hAnsi="Times New Roman"/>
          <w:i w:val="1"/>
          <w:sz w:val="28"/>
        </w:rPr>
        <w:t xml:space="preserve"> </w:t>
      </w:r>
      <w:r>
        <w:rPr>
          <w:rFonts w:ascii="Times New Roman" w:hAnsi="Times New Roman"/>
          <w:i w:val="1"/>
          <w:sz w:val="28"/>
        </w:rPr>
        <w:t>rosmarus</w:t>
      </w:r>
      <w:r>
        <w:rPr>
          <w:rFonts w:ascii="Times New Roman" w:hAnsi="Times New Roman"/>
          <w:i w:val="1"/>
          <w:sz w:val="28"/>
        </w:rPr>
        <w:t xml:space="preserve"> </w:t>
      </w:r>
      <w:r>
        <w:rPr>
          <w:rFonts w:ascii="Times New Roman" w:hAnsi="Times New Roman"/>
          <w:i w:val="1"/>
          <w:sz w:val="28"/>
        </w:rPr>
        <w:t>divirgens</w:t>
      </w:r>
      <w:r>
        <w:rPr>
          <w:rFonts w:ascii="Times New Roman" w:hAnsi="Times New Roman"/>
          <w:sz w:val="28"/>
        </w:rPr>
        <w:t>;</w:t>
      </w:r>
    </w:p>
    <w:p w14:paraId="43000000">
      <w:pPr>
        <w:tabs>
          <w:tab w:leader="none" w:pos="1134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4) минимизация негативного воздействия на естественные экологические системы бухты Анастасии при осуществлении туризма;</w:t>
      </w:r>
    </w:p>
    <w:p w14:paraId="44000000">
      <w:pPr>
        <w:tabs>
          <w:tab w:leader="none" w:pos="1134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5) проведение научных исследований;</w:t>
      </w:r>
    </w:p>
    <w:p w14:paraId="45000000">
      <w:pPr>
        <w:tabs>
          <w:tab w:leader="none" w:pos="1134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6)</w:t>
      </w:r>
      <w:r>
        <w:rPr>
          <w:rFonts w:ascii="Times New Roman" w:hAnsi="Times New Roman"/>
          <w:sz w:val="28"/>
        </w:rPr>
        <w:t> </w:t>
      </w:r>
      <w:r>
        <w:rPr>
          <w:rFonts w:ascii="Times New Roman" w:hAnsi="Times New Roman"/>
          <w:sz w:val="28"/>
        </w:rPr>
        <w:t>государственный экологический мониторинг (государственный мониторинг окружающей среды);</w:t>
      </w:r>
    </w:p>
    <w:p w14:paraId="46000000">
      <w:pPr>
        <w:tabs>
          <w:tab w:leader="none" w:pos="1134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7) экологическое просвещение населения.</w:t>
      </w:r>
    </w:p>
    <w:p w14:paraId="47000000">
      <w:pPr>
        <w:tabs>
          <w:tab w:leader="none" w:pos="993" w:val="left"/>
          <w:tab w:leader="none" w:pos="1134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4.</w:t>
      </w:r>
      <w:r>
        <w:rPr>
          <w:rFonts w:ascii="Times New Roman" w:hAnsi="Times New Roman"/>
          <w:sz w:val="28"/>
        </w:rPr>
        <w:t> </w:t>
      </w:r>
      <w:bookmarkStart w:id="3" w:name="_GoBack"/>
      <w:bookmarkEnd w:id="3"/>
      <w:r>
        <w:rPr>
          <w:rFonts w:ascii="Times New Roman" w:hAnsi="Times New Roman"/>
          <w:sz w:val="28"/>
        </w:rPr>
        <w:t>Памятник природы создан решением Исполнительного комитета Камчатского областного Совета народных депутатов от 28.12.1983 № 562 «О мерах по усилению охраны природы в районах интенсивного нереста лососевых рыб и местах расположения ценных природных комплексов на территории Камчатской области» без ограничения срока его функционирования.</w:t>
      </w:r>
    </w:p>
    <w:p w14:paraId="48000000">
      <w:pPr>
        <w:tabs>
          <w:tab w:leader="none" w:pos="993" w:val="left"/>
          <w:tab w:leader="none" w:pos="1276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5. Памятник природы создан на землях лесного фонда без изъятия земельных участков для государственных нужд, а также у собственников, землепользователей, землевладельцев.</w:t>
      </w:r>
    </w:p>
    <w:p w14:paraId="49000000">
      <w:pPr>
        <w:tabs>
          <w:tab w:leader="none" w:pos="993" w:val="left"/>
          <w:tab w:leader="none" w:pos="1134" w:val="left"/>
          <w:tab w:leader="none" w:pos="1276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6. Общая площадь Памятника природы составляет 233,73 га. </w:t>
      </w:r>
    </w:p>
    <w:p w14:paraId="4A000000">
      <w:pPr>
        <w:tabs>
          <w:tab w:leader="none" w:pos="1134" w:val="left"/>
          <w:tab w:leader="none" w:pos="1276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7.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Природные ресурсы, расположенные в границах Памятника природы, ограничиваются в гражданском обороте в соответствии с требованиями действующего законодательства и настоящего Положения.</w:t>
      </w:r>
    </w:p>
    <w:p w14:paraId="4B000000">
      <w:pPr>
        <w:tabs>
          <w:tab w:leader="none" w:pos="1134" w:val="left"/>
          <w:tab w:leader="none" w:pos="1276" w:val="left"/>
        </w:tabs>
        <w:spacing w:after="0" w:line="240" w:lineRule="auto"/>
        <w:ind w:firstLine="709" w:left="0"/>
        <w:jc w:val="both"/>
        <w:rPr>
          <w:rFonts w:ascii="Times New Roman" w:hAnsi="Times New Roman"/>
          <w:color w:themeColor="text1"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>8. Запрещается изменение целевого назначения земельных участков, находящихся в границах Памятника природы, за исключением случаев, предусмотренных федеральным закон</w:t>
      </w:r>
      <w:r>
        <w:rPr>
          <w:rFonts w:ascii="Times New Roman" w:hAnsi="Times New Roman"/>
          <w:color w:themeColor="text1" w:val="000000"/>
          <w:sz w:val="28"/>
        </w:rPr>
        <w:t>одательством</w:t>
      </w:r>
      <w:r>
        <w:rPr>
          <w:rFonts w:ascii="Times New Roman" w:hAnsi="Times New Roman"/>
          <w:color w:themeColor="text1" w:val="000000"/>
          <w:sz w:val="28"/>
        </w:rPr>
        <w:t>.</w:t>
      </w:r>
    </w:p>
    <w:p w14:paraId="4C000000">
      <w:pPr>
        <w:tabs>
          <w:tab w:leader="none" w:pos="709" w:val="left"/>
          <w:tab w:leader="none" w:pos="1134" w:val="left"/>
          <w:tab w:leader="none" w:pos="1276" w:val="left"/>
          <w:tab w:leader="none" w:pos="1418" w:val="left"/>
        </w:tabs>
        <w:spacing w:after="0" w:line="240" w:lineRule="auto"/>
        <w:ind w:firstLine="709" w:left="0"/>
        <w:jc w:val="both"/>
        <w:rPr>
          <w:rFonts w:ascii="Times New Roman" w:hAnsi="Times New Roman"/>
          <w:color w:themeColor="text1"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 xml:space="preserve">9. Леса, расположенные на территории Памятника природы, относятся к защитным лесам и используются в соответствии с режимом особой охраны Памятника природы и целевым назначением земель, определяемым лесным законодательством Российской Федерации, законодательством Российской Федерации об особо охраняемых природных территориях, настоящим Положением </w:t>
      </w:r>
      <w:r>
        <w:rPr>
          <w:rFonts w:ascii="Times New Roman" w:hAnsi="Times New Roman"/>
          <w:sz w:val="28"/>
        </w:rPr>
        <w:t>при условии, если это использование совместимо с целевым назначением защитных лесов и выполняемыми ими полезными функциями.</w:t>
      </w:r>
    </w:p>
    <w:p w14:paraId="4D000000">
      <w:pPr>
        <w:tabs>
          <w:tab w:leader="none" w:pos="709" w:val="left"/>
          <w:tab w:leader="none" w:pos="1134" w:val="left"/>
          <w:tab w:leader="none" w:pos="1276" w:val="left"/>
        </w:tabs>
        <w:spacing w:after="0" w:line="240" w:lineRule="auto"/>
        <w:ind w:firstLine="709" w:left="0"/>
        <w:jc w:val="both"/>
        <w:rPr>
          <w:rFonts w:ascii="Times New Roman" w:hAnsi="Times New Roman"/>
          <w:color w:themeColor="text1"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>10. Основным видом разрешенного использования земельных участков, расположенных в границах Памятника природы, является деятельность по особой охране и изучению природы (код 9.0).</w:t>
      </w:r>
    </w:p>
    <w:p w14:paraId="4E000000">
      <w:pPr>
        <w:tabs>
          <w:tab w:leader="none" w:pos="709" w:val="left"/>
          <w:tab w:leader="none" w:pos="1134" w:val="left"/>
          <w:tab w:leader="none" w:pos="1276" w:val="left"/>
          <w:tab w:leader="none" w:pos="1418" w:val="left"/>
        </w:tabs>
        <w:spacing w:after="0" w:line="240" w:lineRule="auto"/>
        <w:ind w:firstLine="709" w:left="0"/>
        <w:jc w:val="both"/>
        <w:rPr>
          <w:rFonts w:ascii="Times New Roman" w:hAnsi="Times New Roman"/>
          <w:color w:themeColor="text1"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 xml:space="preserve">11. Предельные минимальные и (или) максимальные размеры земельных участков и предельные параметры разрешенного строительства, реконструкции объектов капитального строительства не устанавливаются, так как предоставление земельных участков, а также строительство, реконструкция, капитальный ремонт объектов капитального строительства запрещены </w:t>
      </w:r>
      <w:r>
        <w:rPr>
          <w:rFonts w:ascii="Times New Roman" w:hAnsi="Times New Roman"/>
          <w:color w:themeColor="text1" w:val="000000"/>
          <w:sz w:val="28"/>
        </w:rPr>
        <w:br/>
      </w:r>
      <w:r>
        <w:rPr>
          <w:rFonts w:ascii="Times New Roman" w:hAnsi="Times New Roman"/>
          <w:color w:themeColor="text1" w:val="000000"/>
          <w:sz w:val="28"/>
        </w:rPr>
        <w:t>пунктами 1 и 2 части 19 настоящего Положения.</w:t>
      </w:r>
    </w:p>
    <w:p w14:paraId="4F000000">
      <w:pPr>
        <w:tabs>
          <w:tab w:leader="none" w:pos="709" w:val="left"/>
          <w:tab w:leader="none" w:pos="1134" w:val="left"/>
          <w:tab w:leader="none" w:pos="1276" w:val="left"/>
          <w:tab w:leader="none" w:pos="1418" w:val="left"/>
        </w:tabs>
        <w:spacing w:after="0" w:line="240" w:lineRule="auto"/>
        <w:ind w:firstLine="709" w:left="0"/>
        <w:jc w:val="both"/>
        <w:rPr>
          <w:rFonts w:ascii="Times New Roman" w:hAnsi="Times New Roman"/>
          <w:color w:themeColor="text1"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 xml:space="preserve">12. Границы и особенности режима особой охраны Памятника природы учитываются при территориальном планировании, градостроительном зонировании, при разработке правил землепользования и застройки, проведении землеустройства и лесоустройства, разработке лесного плана Камчатского края, лесохозяйственных регламентов и проектов освоения лесов, подготовке планов и перспектив экономического и социального развития, в том числе развития населенных пунктов, территориальных комплексных схем охраны природы, схем комплексного использования и охраны водных объектов, схем размещения, использования и охраны охотничьих угодий. </w:t>
      </w:r>
    </w:p>
    <w:p w14:paraId="50000000">
      <w:pPr>
        <w:tabs>
          <w:tab w:leader="none" w:pos="709" w:val="left"/>
          <w:tab w:leader="none" w:pos="1134" w:val="left"/>
          <w:tab w:leader="none" w:pos="1276" w:val="left"/>
          <w:tab w:leader="none" w:pos="1418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 xml:space="preserve">13. </w:t>
      </w:r>
      <w:r>
        <w:rPr>
          <w:rFonts w:ascii="Times New Roman" w:hAnsi="Times New Roman"/>
          <w:sz w:val="28"/>
        </w:rPr>
        <w:t xml:space="preserve">На территории Памятника природы экономическая и иная деятельность осуществляется с соблюдением требований настоящего Положения и Требований по предотвращению гибели объектов животного мира, за исключением объектов животного мира, находящихся на особо охраняемых природных территориях федерального значения, при осуществлении производственных процессов, а также при эксплуатации транспортных магистралей, трубопроводов, линий связи и электропередач на территории Камчатского края, утвержденных постановлением Правительства Камчатского края от 15.07.2013 № 303-П. </w:t>
      </w:r>
    </w:p>
    <w:p w14:paraId="51000000">
      <w:pPr>
        <w:tabs>
          <w:tab w:leader="none" w:pos="709" w:val="left"/>
          <w:tab w:leader="none" w:pos="1134" w:val="left"/>
          <w:tab w:leader="none" w:pos="1276" w:val="left"/>
          <w:tab w:leader="none" w:pos="1418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14. Охрана Памятника природы и управление им осуществляется краевым государственным бюджетным учреждением «Служба по охране животного мира и государственных природных заказников Камчатского края» (далее – Учреждение). </w:t>
      </w:r>
    </w:p>
    <w:p w14:paraId="52000000">
      <w:pPr>
        <w:tabs>
          <w:tab w:leader="none" w:pos="709" w:val="left"/>
          <w:tab w:leader="none" w:pos="1134" w:val="left"/>
          <w:tab w:leader="none" w:pos="1276" w:val="left"/>
          <w:tab w:leader="none" w:pos="1418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15.</w:t>
      </w:r>
      <w:r>
        <w:rPr>
          <w:rFonts w:ascii="Times New Roman" w:hAnsi="Times New Roman"/>
          <w:sz w:val="28"/>
        </w:rPr>
        <w:t> </w:t>
      </w:r>
      <w:r>
        <w:rPr>
          <w:rFonts w:ascii="Times New Roman" w:hAnsi="Times New Roman"/>
          <w:sz w:val="28"/>
        </w:rPr>
        <w:t xml:space="preserve">Посещение территории Памятника природы осуществляется по разрешениям, выдаваемым Учреждением.   </w:t>
      </w:r>
    </w:p>
    <w:p w14:paraId="53000000">
      <w:pPr>
        <w:tabs>
          <w:tab w:leader="none" w:pos="709" w:val="left"/>
          <w:tab w:leader="none" w:pos="1134" w:val="left"/>
          <w:tab w:leader="none" w:pos="1276" w:val="left"/>
          <w:tab w:leader="none" w:pos="1418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16. К мероприятиям по обеспечению режима особой охраны Памятника природы могут привлекаться граждане, общественные объединения и некоммерческие организации, осуществляющие деятельность в области охраны окружающей среды. </w:t>
      </w:r>
    </w:p>
    <w:p w14:paraId="54000000">
      <w:pPr>
        <w:tabs>
          <w:tab w:leader="none" w:pos="709" w:val="left"/>
          <w:tab w:leader="none" w:pos="1134" w:val="left"/>
          <w:tab w:leader="none" w:pos="1276" w:val="left"/>
          <w:tab w:leader="none" w:pos="1418" w:val="left"/>
        </w:tabs>
        <w:spacing w:after="0" w:line="240" w:lineRule="auto"/>
        <w:ind w:firstLine="709" w:left="0"/>
        <w:jc w:val="both"/>
      </w:pPr>
    </w:p>
    <w:p w14:paraId="55000000">
      <w:pPr>
        <w:spacing w:after="0" w:line="240" w:lineRule="auto"/>
        <w:ind w:firstLine="709" w:left="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 Текстовое описание местоположения границ Памятника природы</w:t>
      </w:r>
    </w:p>
    <w:p w14:paraId="56000000">
      <w:pPr>
        <w:spacing w:after="0" w:line="240" w:lineRule="auto"/>
        <w:ind w:firstLine="709" w:left="0"/>
        <w:jc w:val="center"/>
        <w:rPr>
          <w:rFonts w:ascii="Times New Roman" w:hAnsi="Times New Roman"/>
          <w:sz w:val="28"/>
        </w:rPr>
      </w:pPr>
    </w:p>
    <w:p w14:paraId="57000000">
      <w:pPr>
        <w:tabs>
          <w:tab w:leader="none" w:pos="1134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17. Памятник природы расположен в </w:t>
      </w:r>
      <w:r>
        <w:rPr>
          <w:rFonts w:ascii="Times New Roman" w:hAnsi="Times New Roman"/>
          <w:sz w:val="28"/>
        </w:rPr>
        <w:t>Олюторском</w:t>
      </w:r>
      <w:r>
        <w:rPr>
          <w:rFonts w:ascii="Times New Roman" w:hAnsi="Times New Roman"/>
          <w:sz w:val="28"/>
        </w:rPr>
        <w:t xml:space="preserve"> муниципальном районе Камчатского края, в западной части Берингова моря, включает участок скалистого морского побережья шириной 300–350 м, с </w:t>
      </w:r>
      <w:r>
        <w:rPr>
          <w:rFonts w:ascii="Times New Roman" w:hAnsi="Times New Roman"/>
          <w:sz w:val="28"/>
        </w:rPr>
        <w:t>кекурами</w:t>
      </w:r>
      <w:r>
        <w:rPr>
          <w:rFonts w:ascii="Times New Roman" w:hAnsi="Times New Roman"/>
          <w:sz w:val="28"/>
        </w:rPr>
        <w:t xml:space="preserve"> и подводными камнями, узким галечным пляжем, от бухты Круглая до мыса Прибойный бухты Анастасия.  </w:t>
      </w:r>
    </w:p>
    <w:p w14:paraId="58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18. Граница Памятника природы проходит по береговой линии бухты Анастасия в период максимального отлива, </w:t>
      </w:r>
      <w:r>
        <w:rPr>
          <w:rFonts w:ascii="Times New Roman" w:hAnsi="Times New Roman"/>
          <w:sz w:val="28"/>
        </w:rPr>
        <w:t>оконтуривая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кекуры</w:t>
      </w:r>
      <w:r>
        <w:rPr>
          <w:rFonts w:ascii="Times New Roman" w:hAnsi="Times New Roman"/>
          <w:sz w:val="28"/>
        </w:rPr>
        <w:t xml:space="preserve"> и участки обнажающихся подводных скал, а также на расстоянии 300–350 м от береговой линии моря, от бухты Круглая до мыса Прибойный: </w:t>
      </w:r>
    </w:p>
    <w:p w14:paraId="59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1) северная граница: от характерной точки 115 с географическими координатами 61 градус 21 минута 34.6 секунды северной широты и 172 градуса 52 минуты 23.9 секунды восточной долготы, расположенной в 1343,2 м к 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 xml:space="preserve">юго-востоку от горы </w:t>
      </w:r>
      <w:r>
        <w:rPr>
          <w:rFonts w:ascii="Times New Roman" w:hAnsi="Times New Roman"/>
          <w:sz w:val="28"/>
        </w:rPr>
        <w:t>Иккалыннэй</w:t>
      </w:r>
      <w:r>
        <w:rPr>
          <w:rFonts w:ascii="Times New Roman" w:hAnsi="Times New Roman"/>
          <w:sz w:val="28"/>
        </w:rPr>
        <w:t xml:space="preserve"> (отметка 655,0 м), в 267 м от берега бухты Круглая, проходит прямой лини</w:t>
      </w:r>
      <w:r>
        <w:rPr>
          <w:rFonts w:ascii="Times New Roman" w:hAnsi="Times New Roman"/>
          <w:sz w:val="28"/>
        </w:rPr>
        <w:t>е</w:t>
      </w:r>
      <w:r>
        <w:rPr>
          <w:rFonts w:ascii="Times New Roman" w:hAnsi="Times New Roman"/>
          <w:sz w:val="28"/>
        </w:rPr>
        <w:t xml:space="preserve">й в восточном направлении на протяжении 298,1 м до характерной точки 114 с географическими координатами 61 градус 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21 минута 35.6 секунды северной широты и 172 градуса 52 минуты 43.9 секунды восточной долготы, расположенной в северной оконечности бухты Круглая;</w:t>
      </w:r>
    </w:p>
    <w:p w14:paraId="5A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2) северо-восточная</w:t>
      </w:r>
      <w:r>
        <w:rPr>
          <w:rFonts w:ascii="Times New Roman" w:hAnsi="Times New Roman"/>
          <w:sz w:val="28"/>
        </w:rPr>
        <w:t xml:space="preserve"> граница</w:t>
      </w:r>
      <w:r>
        <w:rPr>
          <w:rFonts w:ascii="Times New Roman" w:hAnsi="Times New Roman"/>
          <w:sz w:val="28"/>
        </w:rPr>
        <w:t>: от характерной точки 114 в общем юго-восточном направлении по береговой линии бухты Круглая в период максимального отлива на протяжении 838,8 м, пересекая русло безымянного ручья, впадающего в бухту Круглая, через характерные точки 113–95 до характерной точки 94 с географическими координатами 61 градус 21 минута 13.9 секунды северной широты и 172 градуса 53 минуты 10.8 секунды восточной долготы, расположенной на правом берегу безымянного ручья, впадающего в бухту Круглая; далее от характерной точки 94 в общем северо-восточном направлении на протяжении 556,3 м по береговой линии бухты Круглая в период максимального отлива, через характерные точки 93–84 до характерной точки 83 с географическими координатами 61 градус 21 минута 27.6 секунды северной широты и 172 градуса 53 минуты 33.9 секунды восточной долготы, расположенной на южной оконечности бухты Круглая; далее от характерной точки 83 в общем юго-восточном направлении на протяжении 5421,9 м по береговой линии бухты Круглая, далее бухты Анастасия в период максимального отлива, через характерные точки 82–2 до характерной точки 1 с географическими координатами 61 градус 19 минут 22.9 секунды северной широты и 172 градуса 57 минут 25.9 секунды восточной долготы, расположенной на мысе Прибойный;</w:t>
      </w:r>
    </w:p>
    <w:p w14:paraId="5B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3) юго-западная</w:t>
      </w:r>
      <w:r>
        <w:rPr>
          <w:rFonts w:ascii="Times New Roman" w:hAnsi="Times New Roman"/>
          <w:sz w:val="28"/>
        </w:rPr>
        <w:t xml:space="preserve"> граница</w:t>
      </w:r>
      <w:r>
        <w:rPr>
          <w:rFonts w:ascii="Times New Roman" w:hAnsi="Times New Roman"/>
          <w:sz w:val="28"/>
        </w:rPr>
        <w:t xml:space="preserve">: от характерной точки 1 прямой линией в 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юго-западном направлении на протяжении 317,4 м до характерной точки 206 с географическими координатами 61 градус 19 минут 18.8 секунды северной широты и 172 градуса 57 минут 6.3 секунды восточной долготы, расположенной в 1449,6 м к северо-западу от устья безымянной речки, впадающей в бухту Малая;</w:t>
      </w:r>
    </w:p>
    <w:p w14:paraId="5C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4) западная – северо-западная</w:t>
      </w:r>
      <w:r>
        <w:rPr>
          <w:rFonts w:ascii="Times New Roman" w:hAnsi="Times New Roman"/>
          <w:sz w:val="28"/>
        </w:rPr>
        <w:t xml:space="preserve"> граница</w:t>
      </w:r>
      <w:r>
        <w:rPr>
          <w:rFonts w:ascii="Times New Roman" w:hAnsi="Times New Roman"/>
          <w:sz w:val="28"/>
        </w:rPr>
        <w:t xml:space="preserve">: от характерней точки 206 в общем северо-западном направлении на расстоянии 300–350 м от береговой линии бухты Анастасия, бухты Круглая, пересекая русло безымянного ручья, впадающего в бухту Круглая, проходит на протяжении 6770,2 м через характерные точки 204–116 до характерной точки 115, где и замыкается.  </w:t>
      </w:r>
    </w:p>
    <w:p w14:paraId="5D000000">
      <w:pPr>
        <w:tabs>
          <w:tab w:leader="none" w:pos="1134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5E00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 Режим особой охраны и использования территории Памятника природы</w:t>
      </w:r>
    </w:p>
    <w:p w14:paraId="5F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60000000">
      <w:pPr>
        <w:tabs>
          <w:tab w:leader="none" w:pos="1134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19. На территории Памятника природы запрещается всякая деятельность, влекущая за собой нарушение его сохранности, в том числе:</w:t>
      </w:r>
    </w:p>
    <w:p w14:paraId="61000000">
      <w:pPr>
        <w:numPr>
          <w:ilvl w:val="0"/>
          <w:numId w:val="1"/>
        </w:numPr>
        <w:tabs>
          <w:tab w:leader="none" w:pos="0" w:val="left"/>
          <w:tab w:leader="none" w:pos="1134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предоставление земельных участков;</w:t>
      </w:r>
    </w:p>
    <w:p w14:paraId="62000000">
      <w:pPr>
        <w:numPr>
          <w:ilvl w:val="0"/>
          <w:numId w:val="1"/>
        </w:numPr>
        <w:tabs>
          <w:tab w:leader="none" w:pos="0" w:val="left"/>
          <w:tab w:leader="none" w:pos="1134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строительство, реконструкция, капитальный ремонт объектов капитального строительства;</w:t>
      </w:r>
    </w:p>
    <w:p w14:paraId="63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3) размещение некапитальных строений и сооружений;</w:t>
      </w:r>
    </w:p>
    <w:p w14:paraId="64000000">
      <w:pPr>
        <w:tabs>
          <w:tab w:leader="none" w:pos="0" w:val="left"/>
          <w:tab w:leader="none" w:pos="1134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4)</w:t>
      </w:r>
      <w:r>
        <w:rPr>
          <w:rFonts w:ascii="Times New Roman" w:hAnsi="Times New Roman"/>
          <w:sz w:val="28"/>
        </w:rPr>
        <w:t> </w:t>
      </w:r>
      <w:r>
        <w:rPr>
          <w:rFonts w:ascii="Times New Roman" w:hAnsi="Times New Roman"/>
          <w:sz w:val="28"/>
        </w:rPr>
        <w:t>деятельность, влекущая за собой нарушение, повреждение, уничтожение природного комплекса, в том числе нарушение исторически сложившегося ландшафта, почвенного и растительного покрова, мест обитаний (произрастаний) видов животных и растений, занесенных в Красную книгу Российской Федерации и Красную книгу Камчатского края, мест гнездований морских колониальных птиц, лежбищ и залежек морских млекопитающих;</w:t>
      </w:r>
    </w:p>
    <w:p w14:paraId="65000000">
      <w:pPr>
        <w:tabs>
          <w:tab w:leader="none" w:pos="0" w:val="left"/>
          <w:tab w:leader="none" w:pos="1134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5) пользование недрами, в том числе выполнение работ по геологическому изучению недр, разработка месторождений полезных ископаемых;</w:t>
      </w:r>
    </w:p>
    <w:p w14:paraId="66000000">
      <w:pPr>
        <w:tabs>
          <w:tab w:leader="none" w:pos="993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6) проведение взрывных работ; </w:t>
      </w:r>
    </w:p>
    <w:p w14:paraId="67000000">
      <w:pPr>
        <w:tabs>
          <w:tab w:leader="none" w:pos="993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7) проведение дноуглубительных и других работ, связанных с изменением дна прилегающей морской акватории и берегов острова; </w:t>
      </w:r>
    </w:p>
    <w:p w14:paraId="68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8) все виды лесопользования;</w:t>
      </w:r>
    </w:p>
    <w:p w14:paraId="69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9) деятельность, ведущая к усилению фактора беспокойства охраняемых объектов животного мира, в том числе:</w:t>
      </w:r>
    </w:p>
    <w:p w14:paraId="6A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а) пролет вертолетов и иных летательных аппаратов ниже 300 м над островом, посадка и стоянка вертолетов, за исключением случаев выполнения мероприятий по ликвидации и предупреждению чрезвычайных ситуаций, осуществления природоохранных мероприятий;</w:t>
      </w:r>
    </w:p>
    <w:p w14:paraId="6B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б) приближение на любых плавучих средствах к лежбищам и залежкам морских млекопитающих, местам гнездования морских колониальных птиц на расстояние менее 150 м;</w:t>
      </w:r>
    </w:p>
    <w:p w14:paraId="6C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в) кормление диких животных и птиц;</w:t>
      </w:r>
    </w:p>
    <w:p w14:paraId="6D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10) деятельность, ведущая к нарушению правил пожарной безопасности в лесах, в том числе разведение огня, выжигание растительности, пускание палов;</w:t>
      </w:r>
    </w:p>
    <w:p w14:paraId="6E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11) накопление, размещение, захоронение, сжигание отходов производства и потребления;</w:t>
      </w:r>
    </w:p>
    <w:p w14:paraId="6F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12) порча и загрязнение земель, в том числе в результате складирования горюче-смазочных материалов, размещения радиоактивных, химических, взрывчатых, токсичных, отравляющих и ядовитых веществ;</w:t>
      </w:r>
    </w:p>
    <w:p w14:paraId="70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13) деятельность, ведущая к загрязнению прилегающей морской акватории; </w:t>
      </w:r>
    </w:p>
    <w:p w14:paraId="71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14) интродукция живых организмов; </w:t>
      </w:r>
    </w:p>
    <w:p w14:paraId="72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15) все виды охоты и рыболовства, сбор яиц морских колониальных птиц, добыча морских млекопитающих, за исключением случаев, предусмотренных в пункте 1 части 20 настоящего Положения;</w:t>
      </w:r>
    </w:p>
    <w:p w14:paraId="73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16) осуществление туризма вне специально оборудованных для этого местах и маршрутах; </w:t>
      </w:r>
    </w:p>
    <w:p w14:paraId="74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17) сбор минералогических, палеонтологических и других геологических коллекционных материалов и образцов горных пород, за исключением случаев, предусмотренных пунктом 1 части 20 настоящего Положения;</w:t>
      </w:r>
    </w:p>
    <w:p w14:paraId="75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18) уничтожение или повреждение аншлагов и других информационных знаков и указателей, нанесение на скалы, информационные знаки и указатели самовольных надписей.</w:t>
      </w:r>
    </w:p>
    <w:p w14:paraId="76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20. На территории Памятника природы разрешаются следующие виды деятельности:</w:t>
      </w:r>
    </w:p>
    <w:p w14:paraId="77000000">
      <w:pPr>
        <w:tabs>
          <w:tab w:leader="none" w:pos="1134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1) научно-исследовательская деятельность, направленная на изучение биологического и ландшафтного разнообразия, динамики и структуры природных комплексов и объектов, включая сбор зоологических, ботанических, минералогических и палеонтологических коллекций в порядке, установленном законодательством Российской Федерации;</w:t>
      </w:r>
    </w:p>
    <w:p w14:paraId="78000000">
      <w:pPr>
        <w:tabs>
          <w:tab w:leader="none" w:pos="1134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2)</w:t>
      </w:r>
      <w:r>
        <w:rPr>
          <w:rFonts w:ascii="Times New Roman" w:hAnsi="Times New Roman"/>
          <w:sz w:val="28"/>
        </w:rPr>
        <w:t> </w:t>
      </w:r>
      <w:r>
        <w:rPr>
          <w:rFonts w:ascii="Times New Roman" w:hAnsi="Times New Roman"/>
          <w:sz w:val="28"/>
        </w:rPr>
        <w:t>осуществление государственного экологического мониторинга (государственного мониторинга окружающей среды);</w:t>
      </w:r>
    </w:p>
    <w:p w14:paraId="79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3) проведение мероприятий, направленных на сохранение, восстановление и поддержание в равновесном состоянии островной экосистемы, в том числе мероприятий по сохранению и восстановлению ключевых мест обитаний (произрастания) объектов животного и растительного мира, нуждающихся в особых мерах охраны;</w:t>
      </w:r>
    </w:p>
    <w:p w14:paraId="7A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4) туризм (без высадки на остров);</w:t>
      </w:r>
    </w:p>
    <w:p w14:paraId="7B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5) эколого-просветительская деятельность.</w:t>
      </w:r>
    </w:p>
    <w:p w14:paraId="7C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7D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7E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7F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80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81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82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83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84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85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tbl>
      <w:tblPr>
        <w:tblStyle w:val="Style_2"/>
        <w:tblLayout w:type="fixed"/>
      </w:tblPr>
      <w:tblGrid>
        <w:gridCol w:w="480"/>
        <w:gridCol w:w="480"/>
        <w:gridCol w:w="480"/>
        <w:gridCol w:w="3661"/>
        <w:gridCol w:w="480"/>
        <w:gridCol w:w="1869"/>
        <w:gridCol w:w="486"/>
        <w:gridCol w:w="1701"/>
      </w:tblGrid>
      <w:tr>
        <w:tc>
          <w:tcPr>
            <w:tcW w:type="dxa" w:w="480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86000000">
            <w:pPr>
              <w:widowControl w:val="0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0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87000000">
            <w:pPr>
              <w:widowControl w:val="0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0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88000000">
            <w:pPr>
              <w:widowControl w:val="0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661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89000000">
            <w:pPr>
              <w:widowControl w:val="0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536"/>
            <w:gridSpan w:val="4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8A000000">
            <w:pPr>
              <w:widowControl w:val="0"/>
              <w:ind w:hanging="8079" w:left="8079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Приложение 2 к постановлению</w:t>
            </w:r>
          </w:p>
        </w:tc>
      </w:tr>
      <w:tr>
        <w:tc>
          <w:tcPr>
            <w:tcW w:type="dxa" w:w="480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8B000000">
            <w:pPr>
              <w:widowControl w:val="0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0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8C000000">
            <w:pPr>
              <w:widowControl w:val="0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0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8D000000">
            <w:pPr>
              <w:widowControl w:val="0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661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8E000000">
            <w:pPr>
              <w:widowControl w:val="0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536"/>
            <w:gridSpan w:val="4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8F000000">
            <w:pPr>
              <w:widowControl w:val="0"/>
              <w:ind w:hanging="8079" w:left="8079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Правительства Камчатского края</w:t>
            </w:r>
          </w:p>
        </w:tc>
      </w:tr>
      <w:tr>
        <w:tc>
          <w:tcPr>
            <w:tcW w:type="dxa" w:w="480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90000000">
            <w:pPr>
              <w:spacing w:after="60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0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91000000">
            <w:pPr>
              <w:spacing w:after="60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0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92000000">
            <w:pPr>
              <w:spacing w:after="60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661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93000000">
            <w:pPr>
              <w:spacing w:after="60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0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94000000">
            <w:pPr>
              <w:spacing w:after="60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от</w:t>
            </w:r>
          </w:p>
        </w:tc>
        <w:tc>
          <w:tcPr>
            <w:tcW w:type="dxa" w:w="1869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95000000"/>
        </w:tc>
        <w:tc>
          <w:tcPr>
            <w:tcW w:type="dxa" w:w="486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96000000">
            <w:pPr>
              <w:spacing w:after="60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№</w:t>
            </w:r>
          </w:p>
        </w:tc>
        <w:tc>
          <w:tcPr>
            <w:tcW w:type="dxa" w:w="1701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97000000"/>
        </w:tc>
      </w:tr>
    </w:tbl>
    <w:p w14:paraId="98000000">
      <w:pPr>
        <w:ind/>
        <w:jc w:val="center"/>
      </w:pPr>
    </w:p>
    <w:p w14:paraId="9900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Графическое описание </w:t>
      </w:r>
    </w:p>
    <w:p w14:paraId="9A00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местоположения границ памятника природы регионального значения </w:t>
      </w:r>
    </w:p>
    <w:p w14:paraId="9B00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«Бухта Анастасии» (далее – Памятник природы)</w:t>
      </w:r>
    </w:p>
    <w:p w14:paraId="9C00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</w:p>
    <w:p w14:paraId="9D00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Раздел 1. Сведения о Памятнике природы </w:t>
      </w:r>
    </w:p>
    <w:p w14:paraId="9E000000">
      <w:pPr>
        <w:spacing w:after="0" w:line="240" w:lineRule="auto"/>
        <w:ind/>
        <w:jc w:val="center"/>
        <w:rPr>
          <w:rFonts w:ascii="Times New Roman" w:hAnsi="Times New Roman"/>
          <w:sz w:val="24"/>
        </w:rPr>
      </w:pPr>
    </w:p>
    <w:tbl>
      <w:tblPr>
        <w:tblStyle w:val="Style_1"/>
        <w:tblInd w:type="dxa" w:w="-147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568"/>
        <w:gridCol w:w="4140"/>
        <w:gridCol w:w="5066"/>
      </w:tblGrid>
      <w:tr>
        <w:trPr>
          <w:trHeight w:hRule="atLeast" w:val="411"/>
        </w:trPr>
        <w:tc>
          <w:tcPr>
            <w:tcW w:type="dxa" w:w="5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F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№ п/п</w:t>
            </w:r>
          </w:p>
        </w:tc>
        <w:tc>
          <w:tcPr>
            <w:tcW w:type="dxa" w:w="41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0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Характеристика Памятника природы </w:t>
            </w:r>
          </w:p>
        </w:tc>
        <w:tc>
          <w:tcPr>
            <w:tcW w:type="dxa" w:w="50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1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Описание характеристик  </w:t>
            </w:r>
          </w:p>
        </w:tc>
      </w:tr>
      <w:tr>
        <w:trPr>
          <w:trHeight w:hRule="atLeast" w:val="255"/>
        </w:trPr>
        <w:tc>
          <w:tcPr>
            <w:tcW w:type="dxa" w:w="5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2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41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3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50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4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</w:tr>
      <w:tr>
        <w:trPr>
          <w:trHeight w:hRule="atLeast" w:val="543"/>
        </w:trPr>
        <w:tc>
          <w:tcPr>
            <w:tcW w:type="dxa" w:w="5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5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  <w:r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type="dxa" w:w="41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600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Местоположение Памятника природы</w:t>
            </w:r>
          </w:p>
        </w:tc>
        <w:tc>
          <w:tcPr>
            <w:tcW w:type="dxa" w:w="50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700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Камчатский край, </w:t>
            </w:r>
            <w:r>
              <w:rPr>
                <w:rFonts w:ascii="Times New Roman" w:hAnsi="Times New Roman"/>
                <w:sz w:val="24"/>
              </w:rPr>
              <w:t>Олюторский</w:t>
            </w:r>
            <w:r>
              <w:rPr>
                <w:rFonts w:ascii="Times New Roman" w:hAnsi="Times New Roman"/>
                <w:sz w:val="24"/>
              </w:rPr>
              <w:t xml:space="preserve"> муниципальный район</w:t>
            </w:r>
          </w:p>
        </w:tc>
      </w:tr>
      <w:tr>
        <w:tc>
          <w:tcPr>
            <w:tcW w:type="dxa" w:w="5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8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  <w:r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type="dxa" w:w="41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900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Площадь объекта +/– величина погрешности определения площади </w:t>
            </w:r>
            <w:r>
              <w:rPr>
                <w:rFonts w:ascii="Times New Roman" w:hAnsi="Times New Roman"/>
                <w:sz w:val="24"/>
              </w:rPr>
              <w:br/>
            </w:r>
            <w:r>
              <w:rPr>
                <w:rFonts w:ascii="Times New Roman" w:hAnsi="Times New Roman"/>
                <w:sz w:val="24"/>
              </w:rPr>
              <w:t>(Р +/– Дельта Р)</w:t>
            </w:r>
          </w:p>
        </w:tc>
        <w:tc>
          <w:tcPr>
            <w:tcW w:type="dxa" w:w="50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A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highlight w:val="yellow"/>
                <w:vertAlign w:val="superscript"/>
              </w:rPr>
            </w:pPr>
            <w:r>
              <w:rPr>
                <w:rFonts w:ascii="Times New Roman" w:hAnsi="Times New Roman"/>
                <w:sz w:val="24"/>
              </w:rPr>
              <w:t>2283843  +/- 13223 м</w:t>
            </w:r>
            <w:r>
              <w:rPr>
                <w:rFonts w:ascii="Times New Roman" w:hAnsi="Times New Roman"/>
                <w:sz w:val="24"/>
                <w:vertAlign w:val="superscript"/>
              </w:rPr>
              <w:t>2</w:t>
            </w:r>
          </w:p>
        </w:tc>
      </w:tr>
      <w:tr>
        <w:trPr>
          <w:trHeight w:hRule="atLeast" w:val="1262"/>
        </w:trPr>
        <w:tc>
          <w:tcPr>
            <w:tcW w:type="dxa" w:w="5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B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  <w:r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type="dxa" w:w="41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C00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Наименование и реквизиты нормативного правового акта о создании объекта</w:t>
            </w:r>
          </w:p>
        </w:tc>
        <w:tc>
          <w:tcPr>
            <w:tcW w:type="dxa" w:w="50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D00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  <w:highlight w:val="yellow"/>
              </w:rPr>
            </w:pPr>
            <w:r>
              <w:rPr>
                <w:rFonts w:ascii="Times New Roman" w:hAnsi="Times New Roman"/>
                <w:sz w:val="24"/>
              </w:rPr>
              <w:t>Решение Исполнительного комитета Камчатского областного Совета народных депутатов от 28.12.1983 № 562 «О мерах по усилению охраны природы в районах интенсивного нереста лососевых рыб и местах расположения ценных природных комплексов на территории Камчатской области»</w:t>
            </w:r>
          </w:p>
        </w:tc>
      </w:tr>
    </w:tbl>
    <w:p w14:paraId="AE000000">
      <w:pPr>
        <w:spacing w:after="0"/>
        <w:ind/>
        <w:jc w:val="center"/>
      </w:pPr>
    </w:p>
    <w:p w14:paraId="AF00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Раздел 2. Сведения о местоположении границ Памятника природы </w:t>
      </w:r>
    </w:p>
    <w:p w14:paraId="B000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</w:p>
    <w:tbl>
      <w:tblPr>
        <w:tblStyle w:val="Style_1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1702"/>
        <w:gridCol w:w="1710"/>
        <w:gridCol w:w="1738"/>
        <w:gridCol w:w="2106"/>
        <w:gridCol w:w="2381"/>
      </w:tblGrid>
      <w:tr>
        <w:trPr>
          <w:trHeight w:hRule="atLeast" w:val="159"/>
        </w:trPr>
        <w:tc>
          <w:tcPr>
            <w:tcW w:type="dxa" w:w="9637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100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 Система координат: МСК 41, WGS 84</w:t>
            </w:r>
          </w:p>
        </w:tc>
      </w:tr>
      <w:tr>
        <w:trPr>
          <w:trHeight w:hRule="atLeast" w:val="108"/>
        </w:trPr>
        <w:tc>
          <w:tcPr>
            <w:tcW w:type="dxa" w:w="9637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200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2. Сведения о характерных точках границ Памятника природы:</w:t>
            </w:r>
          </w:p>
        </w:tc>
      </w:tr>
      <w:tr>
        <w:tc>
          <w:tcPr>
            <w:tcW w:type="dxa" w:w="1702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3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Обозначение характерных точек границ</w:t>
            </w:r>
          </w:p>
        </w:tc>
        <w:tc>
          <w:tcPr>
            <w:tcW w:type="dxa" w:w="3448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4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Координаты МСК-41 (3)</w:t>
            </w:r>
          </w:p>
        </w:tc>
        <w:tc>
          <w:tcPr>
            <w:tcW w:type="dxa" w:w="4487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5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Координаты WGS-84</w:t>
            </w:r>
          </w:p>
        </w:tc>
      </w:tr>
      <w:tr>
        <w:trPr>
          <w:trHeight w:hRule="atLeast" w:val="287"/>
        </w:trPr>
        <w:tc>
          <w:tcPr>
            <w:tcW w:type="dxa" w:w="1702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/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6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Х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7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Y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8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Северная </w:t>
            </w:r>
          </w:p>
          <w:p w14:paraId="B9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широта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A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Восточная </w:t>
            </w:r>
          </w:p>
          <w:p w14:paraId="BB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долгота</w:t>
            </w:r>
          </w:p>
        </w:tc>
      </w:tr>
    </w:tbl>
    <w:p w14:paraId="BC000000">
      <w:pPr>
        <w:spacing w:after="0"/>
        <w:ind/>
        <w:rPr>
          <w:sz w:val="2"/>
        </w:rPr>
      </w:pPr>
    </w:p>
    <w:tbl>
      <w:tblPr>
        <w:tblStyle w:val="Style_1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1702"/>
        <w:gridCol w:w="1710"/>
        <w:gridCol w:w="1738"/>
        <w:gridCol w:w="2106"/>
        <w:gridCol w:w="2381"/>
      </w:tblGrid>
      <w:tr>
        <w:trPr>
          <w:trHeight w:hRule="atLeast" w:val="194"/>
          <w:tblHeader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D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E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F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0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1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2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3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1487548.53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4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3533218.11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5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61°19'22.9"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6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172°57'25.9"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7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8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1487587.12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9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3533182.92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A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61°19'24.2"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B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172°57'23.6"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C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D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1487630.58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E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3533164.37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F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61°19'25.6"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0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172°57'22.5"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1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2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1487716.71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3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3533159.0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4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61°19'28.4"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5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172°57'22.4"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6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7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1487764.81 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8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3533150.84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9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61°19'29.9"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A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172°57'21.9"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B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C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1487792.92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D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3533116.05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E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61°19'30.9"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F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172°57'19.7"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0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1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1487807.89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2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3533066.97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3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61°19'31.4"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4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172°57'16.4"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5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6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1487831.54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7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3533026.03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8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61°19'32.3"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9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172°57'13.7"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A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B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1487874.48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C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3532990.68 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D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61°19'33.7"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E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172°57'11.5"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F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0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1487919.74 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1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3532963.65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2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61°19'35.2"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3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172°57'9.8"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4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5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1487975.38 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6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3532934.14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7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61°19'37.0"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8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172°57'7.9"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9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A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1488027.1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B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3532930.08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C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61°19'38.7"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D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172°57'7.8"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E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F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1488056.35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0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3532942.42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1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61°19'39.6"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2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172°57'8.7"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3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4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1488099.0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5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3532952.32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6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61°19'40.9"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7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172°57'9.5"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8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9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1488156.1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A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3532940.55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B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61°19'42.8"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C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172°57'8.8"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D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E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1488207.16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F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3532919.36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0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61°19'44.5"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1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172°57'7.5"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2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3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1488242.71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4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3532894.96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5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61°19'45.7"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6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172°57'5.9"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7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18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8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1488279.67 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9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3532855.08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A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61°19'46.9"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B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172°57'3.4"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C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19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D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1488299.18 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E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3532813.92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F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61°19'47.6"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0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172°57'0.7"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1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20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2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1488340.3 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3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3532783.52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4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61°19'48.9"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5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172°56'58.7"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6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21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7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1488375.52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8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3532753.35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9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61°19'50.1"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A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172°56'56.8"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B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22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C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1488394.57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D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3532726.42 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E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61°19'50.8"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F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172°56'55.0"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0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23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1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1488450.45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2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3532703.17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3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61°19'52.6"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4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172°56'53.6"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5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24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6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1488500.43 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7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3532688.63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8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61°19'54.3"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9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172°56'52.8"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A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25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B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1488559.03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C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3532677.99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D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61°19'56.2"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E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172°56'52.2"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F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26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0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1488638.57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1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3532666.55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2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61°19'58.7"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3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172°56'51.6"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4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27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5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1488687.34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6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3532676.11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7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61°20'0.3"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8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172°56'52.4"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9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28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A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1488736.36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B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3532701.14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C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61°20'1.9"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D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172°56'54.2"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E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29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F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1488767.07 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0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3532701.91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1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61°20'2.8"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2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172°56'54.4"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3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30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4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1488809.86 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5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3532697.98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6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61°20'4.2"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7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172°56'54.2"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8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31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9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1488901.39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A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3532673.38 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B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61°20'7.2"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C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172°56'52.8"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D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32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E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1489015.53 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F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3532633.25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0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61°20'10.9"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1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172°56'50.4"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2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33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3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1489078.9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4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3532586.58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5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61°20'13.1"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6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172°56'47.4"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7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8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1489107.86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9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3532518.08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A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61°20'14.1"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B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172°56'42.9"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C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D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1489146.14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E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3532474.45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F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61°20'15.4"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0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172°56'40.0"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1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36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2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1489182.96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3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3532457.29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4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61°20'16.6"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5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172°56'38.9"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6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37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7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1489227.28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8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3532452.4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9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61°20'18.0"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A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172°56'38.8"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B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38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C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1489272.71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D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3532429.62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E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61°20'19.5"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F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172°56'37.3"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0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39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1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1489307.07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2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3532394.62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3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61°20'20.7"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4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172°56'35.1"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5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40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6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1489333.19 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7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3532359.92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8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61°20'21.5"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9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172°56'32.8"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A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41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B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1489389.16 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C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3532338.83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D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61°20'23.4"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E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172°56'31.5"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F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42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90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1489448.47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91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3532296.56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92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61°20'25.3"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93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172°56'28.9"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94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43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95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1489505.44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96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3532245.92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97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61°20'27.2"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98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172°56'25.6"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99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44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9A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1489541.57 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9B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3532195.68 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9C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61°20'28.5"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9D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172°56'22.3"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9E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45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9F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1489575.15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A0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3532119.45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A1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61°20'29.6"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A2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172°56'17.3"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A3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46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A4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1489593.3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A5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3532041.89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A6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61°20'30.3"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A7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172°56'12.1"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A8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47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A9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1489607.99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AA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3531955.51 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AB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61°20'30.9"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AC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172°56'6.3"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AD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48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AE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1489623.37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AF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3531917.04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0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61°20'31.4"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1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172°56'3.8"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2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49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3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1489661.26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4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3531883.63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5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61°20'32.7"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6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172°56'1.7"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7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50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8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1489731.86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9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3531821.33 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A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61°20'35.1"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B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172°55'57.6"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C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51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D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1489793.05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E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3531767.11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F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61°20'37.1"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0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172°55'54.2"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1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52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2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1489842.64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3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3531712.79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4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61°20'38.8"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5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172°55'50.6"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6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53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7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1489880.53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8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3531658.7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9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61°20'40.1"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A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172°55'47.1"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B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54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C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1489908.18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D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3531611.31 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E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61°20'41.1"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F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172°55'43.9"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0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55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1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1489945.95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2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3531550.91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3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61°20'42.3"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4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172°55'40.0"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5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6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1489994.23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7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3531494.35 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8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61°20'43.9"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9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172°55'36.3"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A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57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B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1490050.5 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C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3531424.78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D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61°20'45.8"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E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172°55'31.8"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F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58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0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1490085.01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1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3531337.13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2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61°20'47.1"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3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172°55'26.0"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4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59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5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1490119.68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6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3531253.66 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7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61°20'48.3"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8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172°55'20.5"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9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A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1490121.68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B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3531137.71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C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61°20'48.5"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D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172°55'12.7"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E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F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1490142.97 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0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3531033.75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1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61°20'49.3"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2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172°55'5.8"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3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62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4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1490208.07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5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3530919.68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6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61°20'51.5"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7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172°54'58.3"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8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63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9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1490334.4 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A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3530811.72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B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61°20'55.7"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C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172°54'51.3"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D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64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E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1490409.18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F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3530673.03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0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61°20'58.3"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1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172°54'42.2"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2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65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3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1490446.94 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4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3530617.94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5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61°20'59.6"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6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172°54'38.6"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7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66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8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1490510.09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9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3530565.03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A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61°21'1.7"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B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172°54'35.2"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C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67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D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1490626.47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E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3530536.46 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F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61°21'5.5"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0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172°54'33.6"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1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68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2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1490722.55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3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3530510.74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4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61°21'8.6"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5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172°54'32.1"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6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69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7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1490784.17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8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3530470.52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9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61°21'10.7"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A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172°54'29.5"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B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70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C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1490841.64 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D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3530432.54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E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61°21'12.6"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F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172°54'27.1"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0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71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1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1490901.12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2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3530394.55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3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61°21'14.5"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4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172°54'24.7"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5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72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6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1490968.9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7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3530352.0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8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61°21'16.8"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9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172°54'22.0"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A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73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B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1491038.49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C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3530300.94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D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61°21'19.1"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E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172°54'18.8"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F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74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0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1491095.57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1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3530252.48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2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61°21'20.9"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3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172°54'15.6"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4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75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5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1491147.79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6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3530187.35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7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61°21'22.7"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8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172°54'11.4"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9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76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A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1491213.38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B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3530142.81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C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61°21'24.9"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D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172°54'8.6"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E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77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F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1491271.93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0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3530079.58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1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61°21'26.9"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2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172°54'4.5"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3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78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4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1491311.16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5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3530004.39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6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61°21'28.2"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7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172°53'59.5"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8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79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9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1491313.08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A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3529915.21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B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61°21'28.4"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C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172°53'53.5"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D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80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E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1491314.37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F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3529847.91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0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61°21'28.5"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1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172°53'48.9"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2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81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3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1491313.33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4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3529769.18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5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61°21'28.6"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6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172°53'43.7"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7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82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8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1491300.9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9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3529692.75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A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61°21'28.3"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B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172°53'38.5"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C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83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D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1491277.28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E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3529624.5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F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61°21'27.6"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0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172°53'33.9"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1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84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2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1491240.29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3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3529610.51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4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61°21'26.4"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5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172°53'32.9"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6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85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7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1491189.1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8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3529604.59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9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61°21'24.8"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A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172°53'32.3"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B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86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C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1491134.14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D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3529596.14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E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61°21'23.0"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F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172°53'31.6"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0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87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1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1491072.53 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2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3529577.33 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3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61°21'21.1"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4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172°53'30.2"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5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88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6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1491006.28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7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3529550.34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8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61°21'18.9"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9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172°53'28.2"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A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89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B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1490961.04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C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3529518.34 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D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61°21'17.5"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E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172°53'25.9"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F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90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0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1490928.27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1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3529485.87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2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61°21'16.5"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3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172°53'23.7"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4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91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5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1490903.89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6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3529450.95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7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61°21'15.8"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8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172°53'21.3"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9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92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A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1490885.74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B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3529415.85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C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61°21'15.2"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D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172°53'18.9"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E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93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F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1490869.16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90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3529365.91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91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61°21'14.7"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92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172°53'15.5"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93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94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94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1490841.42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95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3529297.48 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96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61°21'13.9"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97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172°53'10.8"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98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95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99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1490833.04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9A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3529243.01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9B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61°21'13.7"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9C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172°53'7.1"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9D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96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9E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1490848.45 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9F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3529177.22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A0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61°21'14.3"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A1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172°53'2.7"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A2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97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A3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1490889.29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A4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3529114.6 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A5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61°21'15.7"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A6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172°52'58.6"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A7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A8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1490917.22 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A9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3529073.56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AA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61°21'16.6"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AB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172°52'55.9"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AC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99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AD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1490937.15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AE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3529045.46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AF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61°21'17.3"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0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172°52'54.1"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1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100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2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1490959.43 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3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3529023.59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4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61°21'18.1"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5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172°52'52.7"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6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101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7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1490981.74 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8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3528999.58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9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61°21'18.8"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A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172°52'51.1"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B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102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C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1491020.83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D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3528977.09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E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61°21'20.1"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F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172°52'49.7"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0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103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1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1491060.01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2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3528956.68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3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61°21'21.4"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4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172°52'48.4"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5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104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6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1491103.81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7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3528946.65 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8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61°21'22.8"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9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172°52'47.9"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A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105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B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1491166.35 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C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3528933.79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D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61°21'24.8"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E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172°52'47.2"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F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106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0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1491228.45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1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3528926.94 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2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61°21'26.9"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3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172°52'46.9"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4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107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5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1491274.66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6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3528934.02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7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61°21'28.3"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8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172°52'47.5"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9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108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A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3528934.02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B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3528934.39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C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79°34'50.2"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D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176°52'10.1"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E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109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F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1491358.14 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0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3528932.7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1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61°21'31.0"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2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172°52'47.6"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3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110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4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1491387.95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5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3528936.41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6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61°21'31.9"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7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172°52'47.9"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8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111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9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1491415.58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A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3528932.5 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B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61°21'32.9"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C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172°52'47.7"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D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112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E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1491441.32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F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3528925.76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0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61°21'33.7"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1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172°52'47.3"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2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113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3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1491468.31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4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3528904.63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5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61°21'34.6"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6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172°52'45.9"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7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114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8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1491497.29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9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3528874.22 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A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61°21'35.6"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B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172°52'43.9"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C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115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D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1491455.36 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E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3528578.29 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F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61°21'34.6"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0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172°52'23.9"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1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116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2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1491414.7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3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3528618.77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4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61°21'33.2"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5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172°52'26.6"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6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117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7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1491364.94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8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3528636.34 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9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61°21'31.6"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A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172°52'27.7"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B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118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C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1491310.93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D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3528617.83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E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61°21'29.9"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F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172°52'26.3"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0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119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1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1491266.01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2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3528621.41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3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61°21'28.4"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4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172°52'26.4"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5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120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6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1491239.44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7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3528623.63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8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61°21'27.6"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9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172°52'26.5"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A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121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B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1491219.99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C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3528625.63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D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61°21'26.9"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E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172°52'26.6"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F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122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0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1491148.12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1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3528615.43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2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61°21'24.6"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3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172°52'25.7"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4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123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5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1491137.31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6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3528615.61 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7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61°21'24.3"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8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172°52'25.7"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9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124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A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1491092.4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B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3528616.52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C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61°21'22.8"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D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172°52'25.6"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E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125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F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1491044.05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0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3528615.14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1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61°21'21.3"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2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172°52'25.4"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3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126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4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1491021.81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5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3528613.88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6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61°21'20.6"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7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172°52'25.3"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8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127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9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1490975.12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A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3528611.96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B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61°21'19.1"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C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172°52'25.1"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D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E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1490950.21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F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3528611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0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61°21'18.3"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1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172°52'24.9"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2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129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3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1490921.61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4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3528615.86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5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61°21'17.3"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6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172°52'25.2"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7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130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8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1490842.26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9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3528629.6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A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61°21'14.8"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B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172°52'25.9"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C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131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D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1490661.87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E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3528785.78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F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61°21'8.7"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0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172°52'35.9"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1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132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2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1490641.42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3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3528805.76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4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61°21'8.1"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5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172°52'37.3"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6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133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7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1490594.77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8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3528913.63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9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61°21'6.4"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A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172°52'44.4"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B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134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C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1490580.32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D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3528990.27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E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61°21'5.9"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F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172°52'49.5"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0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135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1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1490562.93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2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3529038.96 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3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61°21'5.3"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4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172°52'52.7"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5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136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6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1490546.19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7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3529107.91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8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61°21'4.6"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9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172°52'57.3"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A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137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B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1490532.67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C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3529158.32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D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61°21'4.1"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E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172°53'0.7"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F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138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0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1490520.49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1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3529233.17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2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61°21'3.6"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3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172°53'5.7"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4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139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5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1490517.46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6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3529296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7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61°21'3.5"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8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172°53'9.9"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9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A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1490520.84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B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3529341.99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C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61°21'3.5"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D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172°53'12.9"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E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141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F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1490534.28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0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3529391.46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1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61°21'3.9"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2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172°53'16.4"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3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142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4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1490554.41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5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3529479.99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6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61°21'4.4"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7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172°53'22.4"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8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9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1490575.45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A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3529544.87 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B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61°21'5.0"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C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172°53'26.8"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D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144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E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1490612.2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F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3529630.75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90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61°21'6.1"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91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172°53'32.6"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92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145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93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1490649.47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94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3529706.22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95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61°21'7.2"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96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172°53'37.8"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97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146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98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1490695.18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99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3529762.52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9A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61°21'8.6"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9B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172°53'41.7"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9C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147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9D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1490782.59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9E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3529812.55 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9F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61°21'11.4"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A0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172°53'45.3"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A1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148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A2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1490977.94 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A3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3529894.71 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A4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61°21'17.6"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A5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172°53'51.3"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A6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A7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1490925.64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A8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3529930.94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A9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61°21'15.9"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AA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172°53'53.6"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AB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150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AC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1490838.63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AD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3530044.44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AE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61°21'12.9"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AF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172°54'1.0"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0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151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1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1490777.75 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2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3530080.72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3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61°21'10.95"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4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172°54'3.3"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5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152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6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1490698.11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7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3530128.68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8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61°21'8.3"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9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172°54'6.3"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A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153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B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1490607.55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C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3530170.56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D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61°21'5.3"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E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172°54'8.9"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F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154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0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1490547.29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1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3530199.7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2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61°21'3.3"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3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172°54'10.7"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4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155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5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1490452.0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6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3530314.98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7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61°21'0.1"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8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172°54'18.2"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9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156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A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1490379.98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B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3530363.9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C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61°20'57.8"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D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172°54'21.3"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E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157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F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1490301.19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0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3530410.01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1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61°20'55.2"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2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172°54'24.2"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3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158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4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1490213.42 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5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3530458.02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6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61°20'52.3"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7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172°54'27.2"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8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159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9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1490120.43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A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3530509.6 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B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61°20'49.2"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C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172°54'30.5"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D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E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1490024.78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F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3530653.85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0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61°20'45.9"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1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172°54'39.9"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2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161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3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1489936.3 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4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3530751.34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5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61°20'42.9"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6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172°54'46.3"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7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162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8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1489857.81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9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3530865.37 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A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61°20'40.3"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B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172°54'53.7"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C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163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D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1489795.84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E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3531015.07 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F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61°20'38.1"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0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172°55'3.6"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1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164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2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1489779.32 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3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3531094.66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4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61°20'37.5"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5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172°55'8.9"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6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165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7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1489756.11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8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3531174.66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9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61°20'36.6"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A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172°55'14.3"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B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166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C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1489730.63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D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3531256.3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E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61°20'35.7"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F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172°55'19.7"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0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167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1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1489714.07 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2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3531293.56 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3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61°20'35.1"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4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172°55'22.1"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5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168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6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1489663.31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7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3531349.58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8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61°20'33.4"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9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172°55'25.8"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A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169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B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1489626.44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C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3531389.43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D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61°20'32.2"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E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172°55'28.4"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F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170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0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1489576.61 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1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3531508.64 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2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61°20'30.4"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3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172°55'36.2"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4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171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5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1489547.11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6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3531610.58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7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61°20'29.4"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8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172°55'43.0"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9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A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1489527.9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B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3531624.92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C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61°20'28.7"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D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172°55'43.9"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E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173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F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1489497.58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0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3531651.67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1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61°20'27.7"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2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172°55'45.6"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3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174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4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1489429.38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5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3531691.85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6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61°20'25.5"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7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172°55'48.2"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8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175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9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1489356.17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A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3531734.96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B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61°20'23.0"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C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172°55'50.9"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D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176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E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1489287.59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F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3531939.22 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0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61°20'20.6"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1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172°56'4.4"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2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177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3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1489291.41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4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3532022.5 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5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61°20'20.6"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6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172°56'10.0"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7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178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8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1489289.43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9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3532029.12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A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61°20'20.5"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B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172°56'10.5"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C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179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D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1489244.51 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E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3532047.69 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F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61°20'19.1"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0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172°56'11.6"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1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180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2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1489174.44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3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3532073.44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4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61°20'16.8"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5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172°56'13.2"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6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181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7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1489124.33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8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3532099.28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9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61°20'15.1"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A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172°56'14.8"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B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182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C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1489069.72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D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3532183.12 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E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61°20'13.3"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F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172°56'20.3"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0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183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1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1489041.27 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2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3532191.59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3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61°20'12.3"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4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172°56'20.8"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5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184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6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1488984.31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7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3532207.2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8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61°20'10.5"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9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172°56'21.7"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A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185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B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1488870.59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C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3532352.71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D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61°20'6.6"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E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172°56'31.2"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F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186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0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1488789.76 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1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3532374.37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2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61°20'3.9"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3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172°56'32.4"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4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187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5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1488772.8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6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3532377.16 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7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61°20'3.4"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8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172°56'32.6"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9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188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A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1488698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B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3532389.8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C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61°20'1.0"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D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172°56'33.2"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E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189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F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1488663.36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0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3532373.59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1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61°19'59.9"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2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172°56'32.0"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3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190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4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1488529.45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5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3532416.02 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6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61°19'55.5"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7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172°56'34.5"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8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191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9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1488437.07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A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3532435.76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B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61°19'52.5"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C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172°56'35.6"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D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192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E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1488395.23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F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3532441.48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0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61°19'51.2"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1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172°56'35.9"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2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193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3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1488325.86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4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3532459.12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5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61°19'48.9"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6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172°56'36.9"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7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194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8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1488282.21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9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3532466.94 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A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61°19'47.5"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B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172°56'37.3"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C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195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D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1488088.0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E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3532619.46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F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61°19'41.0"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90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172°56'47.1"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91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196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92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1488059.8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93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3532640.31 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94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61°19'40.1"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95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172°56'48.4"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96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197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97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1488015.64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98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3532628.96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99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61°19'38.7"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9A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172°56'47.5"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9B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198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9C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1487904.4 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9D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3532686.52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9E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61°19'35.0"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9F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172°56'51.1"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A0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199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A1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1487742.52 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A2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3532756.08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A3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61°19'29.7"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A4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172°56'55.4"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A5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200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A6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1487696.73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A7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3532775.09 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A8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61°19'28.2"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A9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172°56'56.5"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AA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201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AB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1487676.29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AC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3532791.84 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AD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61°19'27.5"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AE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172°56'57.6"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AF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202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0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1487636.41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1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3532804.88 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2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61°19'26.2"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3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172°56'58.4"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4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203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5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1487598.7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6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3532837.42 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7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61°19'24.9"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8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172°57'0.5"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9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204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A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1487541.59 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B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3532886.7 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C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61°19'23.1"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D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172°57'3.6"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E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205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F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1487475.99 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0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3532909.06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1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61°19'20.9"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2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172°57'4.9"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3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206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4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1487410.56 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5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3532931.36 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6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61°19'18.8"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7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172°57'6.3"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8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9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1487548.53 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A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3533218.11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B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61°19'22.9"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C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172°57'25.9"</w:t>
            </w:r>
          </w:p>
        </w:tc>
      </w:tr>
    </w:tbl>
    <w:p w14:paraId="CD040000">
      <w:pPr>
        <w:ind/>
        <w:jc w:val="center"/>
        <w:rPr>
          <w:rFonts w:ascii="Times New Roman" w:hAnsi="Times New Roman"/>
          <w:sz w:val="24"/>
        </w:rPr>
      </w:pPr>
    </w:p>
    <w:p w14:paraId="CE040000">
      <w:pPr>
        <w:ind/>
        <w:jc w:val="center"/>
      </w:pPr>
    </w:p>
    <w:p w14:paraId="CF040000">
      <w:pPr>
        <w:ind/>
        <w:jc w:val="center"/>
      </w:pPr>
    </w:p>
    <w:p w14:paraId="D0040000">
      <w:pPr>
        <w:ind/>
        <w:jc w:val="center"/>
      </w:pPr>
    </w:p>
    <w:p w14:paraId="D1040000">
      <w:pPr>
        <w:ind/>
        <w:jc w:val="center"/>
      </w:pPr>
    </w:p>
    <w:p w14:paraId="D2040000">
      <w:pPr>
        <w:ind/>
        <w:jc w:val="center"/>
      </w:pPr>
    </w:p>
    <w:p w14:paraId="D3040000">
      <w:pPr>
        <w:ind/>
        <w:jc w:val="center"/>
      </w:pPr>
    </w:p>
    <w:p w14:paraId="D4040000">
      <w:pPr>
        <w:ind/>
        <w:jc w:val="center"/>
      </w:pPr>
    </w:p>
    <w:p w14:paraId="D5040000">
      <w:pPr>
        <w:ind/>
        <w:jc w:val="center"/>
      </w:pPr>
    </w:p>
    <w:p w14:paraId="D6040000">
      <w:pPr>
        <w:ind/>
        <w:jc w:val="center"/>
      </w:pPr>
    </w:p>
    <w:p w14:paraId="D7040000">
      <w:pPr>
        <w:ind/>
        <w:jc w:val="center"/>
      </w:pPr>
    </w:p>
    <w:p w14:paraId="D8040000">
      <w:pPr>
        <w:ind/>
        <w:jc w:val="center"/>
      </w:pPr>
    </w:p>
    <w:p w14:paraId="D9040000">
      <w:pPr>
        <w:ind/>
        <w:jc w:val="center"/>
      </w:pPr>
    </w:p>
    <w:p w14:paraId="DA040000">
      <w:pPr>
        <w:ind/>
        <w:jc w:val="center"/>
      </w:pPr>
    </w:p>
    <w:p w14:paraId="DB040000">
      <w:pPr>
        <w:ind/>
        <w:jc w:val="center"/>
      </w:pPr>
    </w:p>
    <w:p w14:paraId="DC040000">
      <w:pPr>
        <w:ind/>
        <w:jc w:val="center"/>
      </w:pPr>
    </w:p>
    <w:p w14:paraId="DD040000">
      <w:pPr>
        <w:ind/>
        <w:jc w:val="center"/>
      </w:pPr>
    </w:p>
    <w:p w14:paraId="DE040000">
      <w:pPr>
        <w:ind/>
        <w:jc w:val="center"/>
      </w:pPr>
    </w:p>
    <w:p w14:paraId="DF040000">
      <w:pPr>
        <w:ind/>
        <w:jc w:val="center"/>
      </w:pPr>
    </w:p>
    <w:p w14:paraId="E004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Раздел 3. Карта-схема границ Памятника природы</w:t>
      </w:r>
    </w:p>
    <w:p w14:paraId="E104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</w:p>
    <w:p w14:paraId="E2040000">
      <w:pPr>
        <w:spacing w:after="0" w:line="240" w:lineRule="auto"/>
        <w:ind/>
        <w:jc w:val="center"/>
      </w:pPr>
      <w:r>
        <w:rPr>
          <w:b w:val="1"/>
          <w:sz w:val="24"/>
        </w:rPr>
        <w:drawing>
          <wp:inline>
            <wp:extent cx="5969000" cy="7643605"/>
            <wp:effectExtent b="0" l="0" r="0" t="0"/>
            <wp:docPr hidden="false" id="4" name="Picture 4"/>
            <a:graphic>
              <a:graphicData uri="http://schemas.openxmlformats.org/drawingml/2006/picture">
                <pic:pic>
                  <pic:nvPicPr>
                    <pic:cNvPr hidden="false" id="3" name="Picture 3"/>
                    <pic:cNvPicPr preferRelativeResize="true"/>
                  </pic:nvPicPr>
                  <pic:blipFill>
                    <a:blip r:embed="rId3"/>
                    <a:srcRect b="1550" l="2433" r="0" t="6161"/>
                    <a:stretch/>
                  </pic:blipFill>
                  <pic:spPr>
                    <a:xfrm flipH="false" flipV="false" rot="0">
                      <a:ext cx="5969000" cy="7643605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E3040000">
      <w:pPr>
        <w:spacing w:after="0" w:line="240" w:lineRule="auto"/>
        <w:ind/>
        <w:jc w:val="center"/>
      </w:pPr>
      <w:r>
        <w:rPr>
          <w:rFonts w:ascii="Calibri" w:hAnsi="Calibri"/>
        </w:rPr>
        <w:drawing>
          <wp:anchor allowOverlap="true" behindDoc="true" distB="0" distL="114300" distR="114300" distT="0" layoutInCell="true" locked="false" relativeHeight="251658240" simplePos="false">
            <wp:simplePos x="0" y="0"/>
            <wp:positionH relativeFrom="margin">
              <wp:posOffset>77765</wp:posOffset>
            </wp:positionH>
            <wp:positionV relativeFrom="paragraph">
              <wp:posOffset>28368</wp:posOffset>
            </wp:positionV>
            <wp:extent cx="5968513" cy="787970"/>
            <wp:effectExtent b="0" l="0" r="0" t="0"/>
            <wp:wrapNone/>
            <wp:docPr hidden="false" id="6" name="Picture 6"/>
            <a:graphic>
              <a:graphicData uri="http://schemas.openxmlformats.org/drawingml/2006/picture">
                <pic:pic>
                  <pic:nvPicPr>
                    <pic:cNvPr hidden="false" id="5" name="Picture 5"/>
                    <pic:cNvPicPr preferRelativeResize="true"/>
                  </pic:nvPicPr>
                  <pic:blipFill>
                    <a:blip r:embed="rId4"/>
                    <a:srcRect b="10095" l="2647" r="3797" t="80792"/>
                    <a:stretch/>
                  </pic:blipFill>
                  <pic:spPr>
                    <a:xfrm flipH="false" flipV="false" rot="0">
                      <a:ext cx="5968513" cy="787970"/>
                    </a:xfrm>
                    <a:prstGeom prst="rect"/>
                  </pic:spPr>
                </pic:pic>
              </a:graphicData>
            </a:graphic>
          </wp:anchor>
        </w:drawing>
      </w:r>
    </w:p>
    <w:p w14:paraId="E4040000">
      <w:pPr>
        <w:spacing w:after="0" w:line="240" w:lineRule="auto"/>
        <w:ind/>
        <w:jc w:val="center"/>
      </w:pPr>
    </w:p>
    <w:p w14:paraId="E5040000">
      <w:pPr>
        <w:spacing w:after="0" w:line="240" w:lineRule="auto"/>
        <w:ind/>
        <w:jc w:val="center"/>
        <w:rPr>
          <w:rFonts w:ascii="Times New Roman" w:hAnsi="Times New Roman"/>
          <w:sz w:val="24"/>
        </w:rPr>
      </w:pPr>
    </w:p>
    <w:p w14:paraId="E6040000">
      <w:pPr>
        <w:spacing w:after="0" w:line="240" w:lineRule="auto"/>
        <w:ind/>
        <w:jc w:val="center"/>
        <w:rPr>
          <w:rFonts w:ascii="Times New Roman" w:hAnsi="Times New Roman"/>
          <w:sz w:val="24"/>
        </w:rPr>
      </w:pPr>
    </w:p>
    <w:p w14:paraId="E704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</w:p>
    <w:p w14:paraId="E804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</w:p>
    <w:p w14:paraId="E904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</w:p>
    <w:p w14:paraId="EA04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Раздел 4. Ситуационный план местоположения Памятника природы</w:t>
      </w:r>
    </w:p>
    <w:p w14:paraId="EB04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</w:p>
    <w:p w14:paraId="EC04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</w:p>
    <w:p w14:paraId="ED04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</w:p>
    <w:p w14:paraId="EE04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</w:p>
    <w:p w14:paraId="EF04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  <w:r>
        <w:rPr>
          <w:b w:val="1"/>
          <w:color w:themeColor="text1" w:val="000000"/>
        </w:rPr>
        <w:drawing>
          <wp:anchor allowOverlap="true" behindDoc="true" distB="0" distL="114300" distR="114300" distT="0" layoutInCell="true" locked="false" relativeHeight="251658240" simplePos="false">
            <wp:simplePos x="0" y="0"/>
            <wp:positionH relativeFrom="column">
              <wp:posOffset>-53974</wp:posOffset>
            </wp:positionH>
            <wp:positionV relativeFrom="page">
              <wp:posOffset>1181714</wp:posOffset>
            </wp:positionV>
            <wp:extent cx="6119494" cy="4078077"/>
            <wp:effectExtent b="0" l="0" r="0" t="0"/>
            <wp:wrapNone/>
            <wp:docPr hidden="false" id="8" name="Picture 8"/>
            <a:graphic>
              <a:graphicData uri="http://schemas.openxmlformats.org/drawingml/2006/picture">
                <pic:pic>
                  <pic:nvPicPr>
                    <pic:cNvPr hidden="false" id="7" name="Picture 7"/>
                    <pic:cNvPicPr preferRelativeResize="true"/>
                  </pic:nvPicPr>
                  <pic:blipFill>
                    <a:blip r:embed="rId5"/>
                    <a:stretch/>
                  </pic:blipFill>
                  <pic:spPr>
                    <a:xfrm flipH="false" flipV="false" rot="0">
                      <a:ext cx="6119494" cy="4078077"/>
                    </a:xfrm>
                    <a:prstGeom prst="rect"/>
                  </pic:spPr>
                </pic:pic>
              </a:graphicData>
            </a:graphic>
          </wp:anchor>
        </w:drawing>
      </w:r>
    </w:p>
    <w:p w14:paraId="F004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</w:p>
    <w:p w14:paraId="F104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</w:p>
    <w:p w14:paraId="F204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</w:p>
    <w:p w14:paraId="F304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</w:p>
    <w:p w14:paraId="F404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</w:p>
    <w:p w14:paraId="F504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</w:p>
    <w:p w14:paraId="F604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</w:p>
    <w:p w14:paraId="F704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</w:p>
    <w:p w14:paraId="F804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</w:p>
    <w:p w14:paraId="F904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</w:p>
    <w:p w14:paraId="FA04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</w:p>
    <w:p w14:paraId="FB04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</w:p>
    <w:p w14:paraId="FC04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</w:p>
    <w:p w14:paraId="FD04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</w:p>
    <w:p w14:paraId="FE04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</w:p>
    <w:p w14:paraId="FF04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</w:p>
    <w:p w14:paraId="0005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</w:p>
    <w:p w14:paraId="0105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  <w:r>
        <w:rPr>
          <w:b w:val="1"/>
          <w:color w:themeColor="text1" w:val="000000"/>
        </w:rPr>
        <w:drawing>
          <wp:anchor allowOverlap="true" behindDoc="true" distB="0" distL="114300" distR="114300" distT="0" layoutInCell="true" locked="false" relativeHeight="251658240" simplePos="false">
            <wp:simplePos x="0" y="0"/>
            <wp:positionH relativeFrom="column">
              <wp:posOffset>-49212</wp:posOffset>
            </wp:positionH>
            <wp:positionV relativeFrom="page">
              <wp:posOffset>5467964</wp:posOffset>
            </wp:positionV>
            <wp:extent cx="6119494" cy="4074793"/>
            <wp:effectExtent b="0" l="0" r="0" t="0"/>
            <wp:wrapNone/>
            <wp:docPr hidden="false" id="10" name="Picture 10"/>
            <a:graphic>
              <a:graphicData uri="http://schemas.openxmlformats.org/drawingml/2006/picture">
                <pic:pic>
                  <pic:nvPicPr>
                    <pic:cNvPr hidden="false" id="9" name="Picture 9"/>
                    <pic:cNvPicPr preferRelativeResize="true"/>
                  </pic:nvPicPr>
                  <pic:blipFill>
                    <a:blip r:embed="rId6"/>
                    <a:stretch/>
                  </pic:blipFill>
                  <pic:spPr>
                    <a:xfrm flipH="false" flipV="false" rot="0">
                      <a:ext cx="6119494" cy="4074793"/>
                    </a:xfrm>
                    <a:prstGeom prst="rect"/>
                  </pic:spPr>
                </pic:pic>
              </a:graphicData>
            </a:graphic>
          </wp:anchor>
        </w:drawing>
      </w:r>
    </w:p>
    <w:p w14:paraId="0205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</w:p>
    <w:p w14:paraId="0305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</w:p>
    <w:p w14:paraId="0405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</w:p>
    <w:p w14:paraId="0505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</w:p>
    <w:p w14:paraId="0605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</w:p>
    <w:p w14:paraId="0705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</w:p>
    <w:p w14:paraId="0805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</w:p>
    <w:p w14:paraId="0905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</w:p>
    <w:p w14:paraId="0A05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</w:p>
    <w:p w14:paraId="0B05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</w:p>
    <w:p w14:paraId="0C05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</w:p>
    <w:p w14:paraId="0D05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</w:p>
    <w:p w14:paraId="0E05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</w:p>
    <w:p w14:paraId="0F05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</w:p>
    <w:p w14:paraId="1005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</w:p>
    <w:sectPr>
      <w:headerReference r:id="rId1" w:type="default"/>
      <w:pgSz w:h="16838" w:orient="portrait" w:w="11906"/>
      <w:pgMar w:bottom="822" w:footer="709" w:gutter="0" w:header="709" w:left="1418" w:right="851" w:top="1276"/>
      <w:pgNumType w:start="1"/>
      <w:titlePg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header1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rPr>
        <w:rFonts w:ascii="Times New Roman" w:hAnsi="Times New Roman"/>
        <w:sz w:val="28"/>
      </w:rPr>
      <w:fldChar w:fldCharType="begin"/>
    </w:r>
    <w:r>
      <w:rPr>
        <w:rFonts w:ascii="Times New Roman" w:hAnsi="Times New Roman"/>
        <w:sz w:val="28"/>
      </w:rPr>
      <w:instrText>PAGE \* Arabic</w:instrText>
    </w:r>
    <w:r>
      <w:rPr>
        <w:rFonts w:ascii="Times New Roman" w:hAnsi="Times New Roman"/>
        <w:sz w:val="28"/>
      </w:rPr>
      <w:fldChar w:fldCharType="separate"/>
    </w:r>
    <w:r>
      <w:rPr>
        <w:rFonts w:ascii="Times New Roman" w:hAnsi="Times New Roman"/>
        <w:sz w:val="28"/>
      </w:rPr>
      <w:fldChar w:fldCharType="end"/>
    </w:r>
  </w:p>
  <w:p w14:paraId="01000000"/>
</w:hdr>
</file>

<file path=word/numbering.xml><?xml version="1.0" encoding="utf-8"?>
<w:number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abstractNum w:abstractNumId="0">
    <w:lvl w:ilvl="0">
      <w:start w:val="1"/>
      <w:numFmt w:val="decimal"/>
      <w:lvlText w:val="%1)"/>
      <w:lvlJc w:val="left"/>
      <w:pPr>
        <w:ind w:hanging="360" w:left="720"/>
      </w:pPr>
    </w:lvl>
    <w:lvl w:ilvl="1">
      <w:start w:val="1"/>
      <w:numFmt w:val="russianLower"/>
      <w:lvlText w:val="%2)"/>
      <w:lvlJc w:val="left"/>
      <w:pPr>
        <w:ind w:hanging="360" w:left="1440"/>
      </w:pPr>
    </w:lvl>
    <w:lvl w:ilvl="2">
      <w:start w:val="1"/>
      <w:numFmt w:val="lowerRoman"/>
      <w:lvlText w:val="%3)"/>
      <w:lvlJc w:val="right"/>
      <w:pPr>
        <w:ind w:hanging="360" w:left="2160"/>
      </w:pPr>
    </w:lvl>
    <w:lvl w:ilvl="3">
      <w:start w:val="1"/>
      <w:numFmt w:val="decimal"/>
      <w:lvlText w:val="%4)"/>
      <w:lvlJc w:val="left"/>
      <w:pPr>
        <w:ind w:hanging="360" w:left="2880"/>
      </w:pPr>
    </w:lvl>
    <w:lvl w:ilvl="4">
      <w:start w:val="1"/>
      <w:numFmt w:val="russianLower"/>
      <w:lvlText w:val="%5)"/>
      <w:lvlJc w:val="left"/>
      <w:pPr>
        <w:ind w:hanging="360" w:left="3600"/>
      </w:pPr>
    </w:lvl>
    <w:lvl w:ilvl="5">
      <w:start w:val="1"/>
      <w:numFmt w:val="lowerRoman"/>
      <w:lvlText w:val="%6)"/>
      <w:lvlJc w:val="right"/>
      <w:pPr>
        <w:ind w:hanging="360" w:left="4320"/>
      </w:pPr>
    </w:lvl>
    <w:lvl w:ilvl="6">
      <w:start w:val="1"/>
      <w:numFmt w:val="decimal"/>
      <w:lvlText w:val="%7."/>
      <w:lvlJc w:val="left"/>
      <w:pPr>
        <w:ind w:hanging="360" w:left="5040"/>
      </w:pPr>
    </w:lvl>
    <w:lvl w:ilvl="7">
      <w:start w:val="1"/>
      <w:numFmt w:val="russianLower"/>
      <w:lvlText w:val="%8."/>
      <w:lvlJc w:val="left"/>
      <w:pPr>
        <w:ind w:hanging="360" w:left="5760"/>
      </w:pPr>
    </w:lvl>
    <w:lvl w:ilvl="8">
      <w:start w:val="1"/>
      <w:numFmt w:val="lowerRoman"/>
      <w:lvlText w:val="%9."/>
      <w:lvlJc w:val="right"/>
      <w:pPr>
        <w:ind w:hanging="360" w:left="6480"/>
      </w:pPr>
    </w:lvl>
  </w:abstractNum>
  <w:num w:numId="1">
    <w:abstractNumId w:val="0"/>
  </w:num>
</w:numbering>
</file>

<file path=word/settings.xml><?xml version="1.0" encoding="utf-8"?>
<w:setting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efaultTabStop w:val="708"/>
  <w:compat>
    <w:compatSetting w:name="compatibilityMode" w:uri="http://schemas.microsoft.com/office/word" w:val="15"/>
  </w:compat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ocDefaults>
    <w:rPrDefault>
      <w:rPr>
        <w:rFonts w:asciiTheme="minorAscii" w:hAnsiTheme="minorHAnsi"/>
        <w:color w:val="000000"/>
        <w:spacing w:val="0"/>
        <w:sz w:val="22"/>
      </w:rPr>
    </w:rPrDefault>
    <w:pPrDefault>
      <w:pPr>
        <w:spacing w:after="160" w:before="0" w:line="264" w:lineRule="auto"/>
        <w:ind w:firstLine="0" w:left="0" w:right="0"/>
        <w:jc w:val="left"/>
      </w:pPr>
    </w:pPrDefault>
  </w:docDefaults>
  <w:latentStyles w:count="24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Hyperlink" w:qFormat="0" w:semiHidden="0" w:unhideWhenUsed="0"/>
  </w:latentStyles>
  <w:style w:default="1" w:styleId="Style_3" w:type="paragraph">
    <w:name w:val="Normal"/>
    <w:link w:val="Style_3_ch"/>
    <w:uiPriority w:val="0"/>
    <w:qFormat/>
  </w:style>
  <w:style w:default="1" w:styleId="Style_3_ch" w:type="character">
    <w:name w:val="Normal"/>
    <w:link w:val="Style_3"/>
  </w:style>
  <w:style w:styleId="Style_4" w:type="paragraph">
    <w:name w:val="toc 2"/>
    <w:next w:val="Style_3"/>
    <w:link w:val="Style_4_ch"/>
    <w:uiPriority w:val="39"/>
    <w:pPr>
      <w:ind w:firstLine="0" w:left="200"/>
    </w:pPr>
    <w:rPr>
      <w:rFonts w:ascii="XO Thames" w:hAnsi="XO Thames"/>
      <w:sz w:val="28"/>
    </w:rPr>
  </w:style>
  <w:style w:styleId="Style_4_ch" w:type="character">
    <w:name w:val="toc 2"/>
    <w:link w:val="Style_4"/>
    <w:rPr>
      <w:rFonts w:ascii="XO Thames" w:hAnsi="XO Thames"/>
      <w:sz w:val="28"/>
    </w:rPr>
  </w:style>
  <w:style w:styleId="Style_5" w:type="paragraph">
    <w:name w:val="toc 4"/>
    <w:next w:val="Style_3"/>
    <w:link w:val="Style_5_ch"/>
    <w:uiPriority w:val="39"/>
    <w:pPr>
      <w:ind w:firstLine="0" w:left="600"/>
    </w:pPr>
    <w:rPr>
      <w:rFonts w:ascii="XO Thames" w:hAnsi="XO Thames"/>
      <w:sz w:val="28"/>
    </w:rPr>
  </w:style>
  <w:style w:styleId="Style_5_ch" w:type="character">
    <w:name w:val="toc 4"/>
    <w:link w:val="Style_5"/>
    <w:rPr>
      <w:rFonts w:ascii="XO Thames" w:hAnsi="XO Thames"/>
      <w:sz w:val="28"/>
    </w:rPr>
  </w:style>
  <w:style w:styleId="Style_6" w:type="paragraph">
    <w:name w:val="toc 6"/>
    <w:next w:val="Style_3"/>
    <w:link w:val="Style_6_ch"/>
    <w:uiPriority w:val="39"/>
    <w:pPr>
      <w:ind w:firstLine="0" w:left="1000"/>
    </w:pPr>
    <w:rPr>
      <w:rFonts w:ascii="XO Thames" w:hAnsi="XO Thames"/>
      <w:sz w:val="28"/>
    </w:rPr>
  </w:style>
  <w:style w:styleId="Style_6_ch" w:type="character">
    <w:name w:val="toc 6"/>
    <w:link w:val="Style_6"/>
    <w:rPr>
      <w:rFonts w:ascii="XO Thames" w:hAnsi="XO Thames"/>
      <w:sz w:val="28"/>
    </w:rPr>
  </w:style>
  <w:style w:styleId="Style_7" w:type="paragraph">
    <w:name w:val="toc 7"/>
    <w:next w:val="Style_3"/>
    <w:link w:val="Style_7_ch"/>
    <w:uiPriority w:val="39"/>
    <w:pPr>
      <w:ind w:firstLine="0" w:left="1200"/>
    </w:pPr>
    <w:rPr>
      <w:rFonts w:ascii="XO Thames" w:hAnsi="XO Thames"/>
      <w:sz w:val="28"/>
    </w:rPr>
  </w:style>
  <w:style w:styleId="Style_7_ch" w:type="character">
    <w:name w:val="toc 7"/>
    <w:link w:val="Style_7"/>
    <w:rPr>
      <w:rFonts w:ascii="XO Thames" w:hAnsi="XO Thames"/>
      <w:sz w:val="28"/>
    </w:rPr>
  </w:style>
  <w:style w:styleId="Style_8" w:type="paragraph">
    <w:name w:val="heading 3"/>
    <w:next w:val="Style_3"/>
    <w:link w:val="Style_8_ch"/>
    <w:uiPriority w:val="9"/>
    <w:qFormat/>
    <w:pPr>
      <w:spacing w:after="120" w:before="120"/>
      <w:ind/>
      <w:jc w:val="both"/>
      <w:outlineLvl w:val="2"/>
    </w:pPr>
    <w:rPr>
      <w:rFonts w:ascii="XO Thames" w:hAnsi="XO Thames"/>
      <w:b w:val="1"/>
      <w:sz w:val="26"/>
    </w:rPr>
  </w:style>
  <w:style w:styleId="Style_8_ch" w:type="character">
    <w:name w:val="heading 3"/>
    <w:link w:val="Style_8"/>
    <w:rPr>
      <w:rFonts w:ascii="XO Thames" w:hAnsi="XO Thames"/>
      <w:b w:val="1"/>
      <w:sz w:val="26"/>
    </w:rPr>
  </w:style>
  <w:style w:styleId="Style_9" w:type="paragraph">
    <w:name w:val="Default Paragraph Font"/>
    <w:link w:val="Style_9_ch"/>
  </w:style>
  <w:style w:styleId="Style_9_ch" w:type="character">
    <w:name w:val="Default Paragraph Font"/>
    <w:link w:val="Style_9"/>
  </w:style>
  <w:style w:styleId="Style_10" w:type="paragraph">
    <w:name w:val="header"/>
    <w:basedOn w:val="Style_3"/>
    <w:link w:val="Style_10_ch"/>
    <w:pPr>
      <w:tabs>
        <w:tab w:leader="none" w:pos="4677" w:val="center"/>
        <w:tab w:leader="none" w:pos="9355" w:val="right"/>
      </w:tabs>
      <w:spacing w:after="0" w:line="240" w:lineRule="auto"/>
      <w:ind/>
    </w:pPr>
  </w:style>
  <w:style w:styleId="Style_10_ch" w:type="character">
    <w:name w:val="header"/>
    <w:basedOn w:val="Style_3_ch"/>
    <w:link w:val="Style_10"/>
  </w:style>
  <w:style w:styleId="Style_11" w:type="paragraph">
    <w:name w:val="Обычный1"/>
    <w:link w:val="Style_11_ch"/>
  </w:style>
  <w:style w:styleId="Style_11_ch" w:type="character">
    <w:name w:val="Обычный1"/>
    <w:link w:val="Style_11"/>
  </w:style>
  <w:style w:styleId="Style_12" w:type="paragraph">
    <w:name w:val="toc 3"/>
    <w:next w:val="Style_3"/>
    <w:link w:val="Style_12_ch"/>
    <w:uiPriority w:val="39"/>
    <w:pPr>
      <w:ind w:firstLine="0" w:left="400"/>
    </w:pPr>
    <w:rPr>
      <w:rFonts w:ascii="XO Thames" w:hAnsi="XO Thames"/>
      <w:sz w:val="28"/>
    </w:rPr>
  </w:style>
  <w:style w:styleId="Style_12_ch" w:type="character">
    <w:name w:val="toc 3"/>
    <w:link w:val="Style_12"/>
    <w:rPr>
      <w:rFonts w:ascii="XO Thames" w:hAnsi="XO Thames"/>
      <w:sz w:val="28"/>
    </w:rPr>
  </w:style>
  <w:style w:styleId="Style_13" w:type="paragraph">
    <w:name w:val="footer"/>
    <w:basedOn w:val="Style_3"/>
    <w:link w:val="Style_13_ch"/>
    <w:pPr>
      <w:tabs>
        <w:tab w:leader="none" w:pos="4677" w:val="center"/>
        <w:tab w:leader="none" w:pos="9355" w:val="right"/>
      </w:tabs>
      <w:spacing w:after="0" w:line="240" w:lineRule="auto"/>
      <w:ind/>
    </w:pPr>
    <w:rPr>
      <w:rFonts w:ascii="Times New Roman" w:hAnsi="Times New Roman"/>
      <w:sz w:val="28"/>
    </w:rPr>
  </w:style>
  <w:style w:styleId="Style_13_ch" w:type="character">
    <w:name w:val="footer"/>
    <w:basedOn w:val="Style_3_ch"/>
    <w:link w:val="Style_13"/>
    <w:rPr>
      <w:rFonts w:ascii="Times New Roman" w:hAnsi="Times New Roman"/>
      <w:sz w:val="28"/>
    </w:rPr>
  </w:style>
  <w:style w:styleId="Style_14" w:type="paragraph">
    <w:name w:val="Гиперссылка1"/>
    <w:basedOn w:val="Style_15"/>
    <w:link w:val="Style_14_ch"/>
    <w:rPr>
      <w:color w:themeColor="hyperlink" w:val="0563C1"/>
      <w:u w:val="single"/>
    </w:rPr>
  </w:style>
  <w:style w:styleId="Style_14_ch" w:type="character">
    <w:name w:val="Гиперссылка1"/>
    <w:basedOn w:val="Style_15_ch"/>
    <w:link w:val="Style_14"/>
    <w:rPr>
      <w:color w:themeColor="hyperlink" w:val="0563C1"/>
      <w:u w:val="single"/>
    </w:rPr>
  </w:style>
  <w:style w:styleId="Style_16" w:type="paragraph">
    <w:name w:val="heading 5"/>
    <w:next w:val="Style_3"/>
    <w:link w:val="Style_16_ch"/>
    <w:uiPriority w:val="9"/>
    <w:qFormat/>
    <w:pPr>
      <w:spacing w:after="120" w:before="120"/>
      <w:ind/>
      <w:jc w:val="both"/>
      <w:outlineLvl w:val="4"/>
    </w:pPr>
    <w:rPr>
      <w:rFonts w:ascii="XO Thames" w:hAnsi="XO Thames"/>
      <w:b w:val="1"/>
    </w:rPr>
  </w:style>
  <w:style w:styleId="Style_16_ch" w:type="character">
    <w:name w:val="heading 5"/>
    <w:link w:val="Style_16"/>
    <w:rPr>
      <w:rFonts w:ascii="XO Thames" w:hAnsi="XO Thames"/>
      <w:b w:val="1"/>
    </w:rPr>
  </w:style>
  <w:style w:styleId="Style_17" w:type="paragraph">
    <w:name w:val="heading 1"/>
    <w:next w:val="Style_3"/>
    <w:link w:val="Style_17_ch"/>
    <w:uiPriority w:val="9"/>
    <w:qFormat/>
    <w:pPr>
      <w:spacing w:after="120" w:before="120"/>
      <w:ind/>
      <w:jc w:val="both"/>
      <w:outlineLvl w:val="0"/>
    </w:pPr>
    <w:rPr>
      <w:rFonts w:ascii="XO Thames" w:hAnsi="XO Thames"/>
      <w:b w:val="1"/>
      <w:sz w:val="32"/>
    </w:rPr>
  </w:style>
  <w:style w:styleId="Style_17_ch" w:type="character">
    <w:name w:val="heading 1"/>
    <w:link w:val="Style_17"/>
    <w:rPr>
      <w:rFonts w:ascii="XO Thames" w:hAnsi="XO Thames"/>
      <w:b w:val="1"/>
      <w:sz w:val="32"/>
    </w:rPr>
  </w:style>
  <w:style w:styleId="Style_18" w:type="paragraph">
    <w:name w:val="Гиперссылка2"/>
    <w:link w:val="Style_18_ch"/>
    <w:rPr>
      <w:color w:val="0000FF"/>
      <w:u w:val="single"/>
    </w:rPr>
  </w:style>
  <w:style w:styleId="Style_18_ch" w:type="character">
    <w:name w:val="Гиперссылка2"/>
    <w:link w:val="Style_18"/>
    <w:rPr>
      <w:color w:val="0000FF"/>
      <w:u w:val="single"/>
    </w:rPr>
  </w:style>
  <w:style w:styleId="Style_19" w:type="paragraph">
    <w:name w:val="Hyperlink"/>
    <w:link w:val="Style_19_ch"/>
    <w:rPr>
      <w:color w:val="0000FF"/>
      <w:u w:val="single"/>
    </w:rPr>
  </w:style>
  <w:style w:styleId="Style_19_ch" w:type="character">
    <w:name w:val="Hyperlink"/>
    <w:link w:val="Style_19"/>
    <w:rPr>
      <w:color w:val="0000FF"/>
      <w:u w:val="single"/>
    </w:rPr>
  </w:style>
  <w:style w:styleId="Style_20" w:type="paragraph">
    <w:name w:val="Footnote"/>
    <w:link w:val="Style_20_ch"/>
    <w:pPr>
      <w:ind w:firstLine="851" w:left="0"/>
      <w:jc w:val="both"/>
    </w:pPr>
    <w:rPr>
      <w:rFonts w:ascii="XO Thames" w:hAnsi="XO Thames"/>
    </w:rPr>
  </w:style>
  <w:style w:styleId="Style_20_ch" w:type="character">
    <w:name w:val="Footnote"/>
    <w:link w:val="Style_20"/>
    <w:rPr>
      <w:rFonts w:ascii="XO Thames" w:hAnsi="XO Thames"/>
    </w:rPr>
  </w:style>
  <w:style w:styleId="Style_15" w:type="paragraph">
    <w:name w:val="Основной шрифт абзаца1"/>
    <w:link w:val="Style_15_ch"/>
  </w:style>
  <w:style w:styleId="Style_15_ch" w:type="character">
    <w:name w:val="Основной шрифт абзаца1"/>
    <w:link w:val="Style_15"/>
  </w:style>
  <w:style w:styleId="Style_21" w:type="paragraph">
    <w:name w:val="toc 1"/>
    <w:next w:val="Style_3"/>
    <w:link w:val="Style_21_ch"/>
    <w:uiPriority w:val="39"/>
    <w:rPr>
      <w:rFonts w:ascii="XO Thames" w:hAnsi="XO Thames"/>
      <w:b w:val="1"/>
      <w:sz w:val="28"/>
    </w:rPr>
  </w:style>
  <w:style w:styleId="Style_21_ch" w:type="character">
    <w:name w:val="toc 1"/>
    <w:link w:val="Style_21"/>
    <w:rPr>
      <w:rFonts w:ascii="XO Thames" w:hAnsi="XO Thames"/>
      <w:b w:val="1"/>
      <w:sz w:val="28"/>
    </w:rPr>
  </w:style>
  <w:style w:styleId="Style_22" w:type="paragraph">
    <w:name w:val="Header and Footer"/>
    <w:link w:val="Style_22_ch"/>
    <w:pPr>
      <w:spacing w:line="240" w:lineRule="auto"/>
      <w:ind/>
      <w:jc w:val="both"/>
    </w:pPr>
    <w:rPr>
      <w:rFonts w:ascii="XO Thames" w:hAnsi="XO Thames"/>
      <w:sz w:val="20"/>
    </w:rPr>
  </w:style>
  <w:style w:styleId="Style_22_ch" w:type="character">
    <w:name w:val="Header and Footer"/>
    <w:link w:val="Style_22"/>
    <w:rPr>
      <w:rFonts w:ascii="XO Thames" w:hAnsi="XO Thames"/>
      <w:sz w:val="20"/>
    </w:rPr>
  </w:style>
  <w:style w:styleId="Style_23" w:type="paragraph">
    <w:name w:val="Основной шрифт абзаца2"/>
    <w:link w:val="Style_23_ch"/>
  </w:style>
  <w:style w:styleId="Style_23_ch" w:type="character">
    <w:name w:val="Основной шрифт абзаца2"/>
    <w:link w:val="Style_23"/>
  </w:style>
  <w:style w:styleId="Style_24" w:type="paragraph">
    <w:name w:val="toc 9"/>
    <w:next w:val="Style_3"/>
    <w:link w:val="Style_24_ch"/>
    <w:uiPriority w:val="39"/>
    <w:pPr>
      <w:ind w:firstLine="0" w:left="1600"/>
    </w:pPr>
    <w:rPr>
      <w:rFonts w:ascii="XO Thames" w:hAnsi="XO Thames"/>
      <w:sz w:val="28"/>
    </w:rPr>
  </w:style>
  <w:style w:styleId="Style_24_ch" w:type="character">
    <w:name w:val="toc 9"/>
    <w:link w:val="Style_24"/>
    <w:rPr>
      <w:rFonts w:ascii="XO Thames" w:hAnsi="XO Thames"/>
      <w:sz w:val="28"/>
    </w:rPr>
  </w:style>
  <w:style w:styleId="Style_25" w:type="paragraph">
    <w:name w:val="Balloon Text"/>
    <w:basedOn w:val="Style_3"/>
    <w:link w:val="Style_25_ch"/>
    <w:pPr>
      <w:spacing w:after="0" w:line="240" w:lineRule="auto"/>
      <w:ind/>
    </w:pPr>
    <w:rPr>
      <w:rFonts w:ascii="Segoe UI" w:hAnsi="Segoe UI"/>
      <w:sz w:val="18"/>
    </w:rPr>
  </w:style>
  <w:style w:styleId="Style_25_ch" w:type="character">
    <w:name w:val="Balloon Text"/>
    <w:basedOn w:val="Style_3_ch"/>
    <w:link w:val="Style_25"/>
    <w:rPr>
      <w:rFonts w:ascii="Segoe UI" w:hAnsi="Segoe UI"/>
      <w:sz w:val="18"/>
    </w:rPr>
  </w:style>
  <w:style w:styleId="Style_26" w:type="paragraph">
    <w:name w:val="toc 8"/>
    <w:next w:val="Style_3"/>
    <w:link w:val="Style_26_ch"/>
    <w:uiPriority w:val="39"/>
    <w:pPr>
      <w:ind w:firstLine="0" w:left="1400"/>
    </w:pPr>
    <w:rPr>
      <w:rFonts w:ascii="XO Thames" w:hAnsi="XO Thames"/>
      <w:sz w:val="28"/>
    </w:rPr>
  </w:style>
  <w:style w:styleId="Style_26_ch" w:type="character">
    <w:name w:val="toc 8"/>
    <w:link w:val="Style_26"/>
    <w:rPr>
      <w:rFonts w:ascii="XO Thames" w:hAnsi="XO Thames"/>
      <w:sz w:val="28"/>
    </w:rPr>
  </w:style>
  <w:style w:styleId="Style_27" w:type="paragraph">
    <w:name w:val="toc 5"/>
    <w:next w:val="Style_3"/>
    <w:link w:val="Style_27_ch"/>
    <w:uiPriority w:val="39"/>
    <w:pPr>
      <w:ind w:firstLine="0" w:left="800"/>
    </w:pPr>
    <w:rPr>
      <w:rFonts w:ascii="XO Thames" w:hAnsi="XO Thames"/>
      <w:sz w:val="28"/>
    </w:rPr>
  </w:style>
  <w:style w:styleId="Style_27_ch" w:type="character">
    <w:name w:val="toc 5"/>
    <w:link w:val="Style_27"/>
    <w:rPr>
      <w:rFonts w:ascii="XO Thames" w:hAnsi="XO Thames"/>
      <w:sz w:val="28"/>
    </w:rPr>
  </w:style>
  <w:style w:styleId="Style_28" w:type="paragraph">
    <w:name w:val="Обычный1"/>
    <w:link w:val="Style_28_ch"/>
  </w:style>
  <w:style w:styleId="Style_28_ch" w:type="character">
    <w:name w:val="Обычный1"/>
    <w:link w:val="Style_28"/>
  </w:style>
  <w:style w:styleId="Style_29" w:type="paragraph">
    <w:name w:val="Subtitle"/>
    <w:next w:val="Style_3"/>
    <w:link w:val="Style_29_ch"/>
    <w:uiPriority w:val="11"/>
    <w:qFormat/>
    <w:pPr>
      <w:ind/>
      <w:jc w:val="both"/>
    </w:pPr>
    <w:rPr>
      <w:rFonts w:ascii="XO Thames" w:hAnsi="XO Thames"/>
      <w:i w:val="1"/>
      <w:sz w:val="24"/>
    </w:rPr>
  </w:style>
  <w:style w:styleId="Style_29_ch" w:type="character">
    <w:name w:val="Subtitle"/>
    <w:link w:val="Style_29"/>
    <w:rPr>
      <w:rFonts w:ascii="XO Thames" w:hAnsi="XO Thames"/>
      <w:i w:val="1"/>
      <w:sz w:val="24"/>
    </w:rPr>
  </w:style>
  <w:style w:styleId="Style_30" w:type="paragraph">
    <w:name w:val="Title"/>
    <w:next w:val="Style_3"/>
    <w:link w:val="Style_30_ch"/>
    <w:uiPriority w:val="10"/>
    <w:qFormat/>
    <w:pPr>
      <w:spacing w:after="567" w:before="567"/>
      <w:ind/>
      <w:jc w:val="center"/>
    </w:pPr>
    <w:rPr>
      <w:rFonts w:ascii="XO Thames" w:hAnsi="XO Thames"/>
      <w:b w:val="1"/>
      <w:caps w:val="1"/>
      <w:sz w:val="40"/>
    </w:rPr>
  </w:style>
  <w:style w:styleId="Style_30_ch" w:type="character">
    <w:name w:val="Title"/>
    <w:link w:val="Style_30"/>
    <w:rPr>
      <w:rFonts w:ascii="XO Thames" w:hAnsi="XO Thames"/>
      <w:b w:val="1"/>
      <w:caps w:val="1"/>
      <w:sz w:val="40"/>
    </w:rPr>
  </w:style>
  <w:style w:styleId="Style_31" w:type="paragraph">
    <w:name w:val="heading 4"/>
    <w:next w:val="Style_3"/>
    <w:link w:val="Style_31_ch"/>
    <w:uiPriority w:val="9"/>
    <w:qFormat/>
    <w:pPr>
      <w:spacing w:after="120" w:before="120"/>
      <w:ind/>
      <w:jc w:val="both"/>
      <w:outlineLvl w:val="3"/>
    </w:pPr>
    <w:rPr>
      <w:rFonts w:ascii="XO Thames" w:hAnsi="XO Thames"/>
      <w:b w:val="1"/>
      <w:sz w:val="24"/>
    </w:rPr>
  </w:style>
  <w:style w:styleId="Style_31_ch" w:type="character">
    <w:name w:val="heading 4"/>
    <w:link w:val="Style_31"/>
    <w:rPr>
      <w:rFonts w:ascii="XO Thames" w:hAnsi="XO Thames"/>
      <w:b w:val="1"/>
      <w:sz w:val="24"/>
    </w:rPr>
  </w:style>
  <w:style w:styleId="Style_32" w:type="paragraph">
    <w:name w:val="Plain Text"/>
    <w:basedOn w:val="Style_3"/>
    <w:link w:val="Style_32_ch"/>
    <w:pPr>
      <w:spacing w:after="0" w:line="240" w:lineRule="auto"/>
      <w:ind/>
    </w:pPr>
    <w:rPr>
      <w:rFonts w:ascii="Calibri" w:hAnsi="Calibri"/>
    </w:rPr>
  </w:style>
  <w:style w:styleId="Style_32_ch" w:type="character">
    <w:name w:val="Plain Text"/>
    <w:basedOn w:val="Style_3_ch"/>
    <w:link w:val="Style_32"/>
    <w:rPr>
      <w:rFonts w:ascii="Calibri" w:hAnsi="Calibri"/>
    </w:rPr>
  </w:style>
  <w:style w:styleId="Style_33" w:type="paragraph">
    <w:name w:val="heading 2"/>
    <w:next w:val="Style_3"/>
    <w:link w:val="Style_33_ch"/>
    <w:uiPriority w:val="9"/>
    <w:qFormat/>
    <w:pPr>
      <w:spacing w:after="120" w:before="120"/>
      <w:ind/>
      <w:jc w:val="both"/>
      <w:outlineLvl w:val="1"/>
    </w:pPr>
    <w:rPr>
      <w:rFonts w:ascii="XO Thames" w:hAnsi="XO Thames"/>
      <w:b w:val="1"/>
      <w:sz w:val="28"/>
    </w:rPr>
  </w:style>
  <w:style w:styleId="Style_33_ch" w:type="character">
    <w:name w:val="heading 2"/>
    <w:link w:val="Style_33"/>
    <w:rPr>
      <w:rFonts w:ascii="XO Thames" w:hAnsi="XO Thames"/>
      <w:b w:val="1"/>
      <w:sz w:val="28"/>
    </w:rPr>
  </w:style>
  <w:style w:styleId="Style_34" w:type="table">
    <w:name w:val="Сетка таблицы1"/>
    <w:basedOn w:val="Style_1"/>
    <w:pPr>
      <w:spacing w:after="0" w:line="240" w:lineRule="auto"/>
      <w:ind/>
    </w:pPr>
    <w:rPr>
      <w:rFonts w:ascii="Times New Roman" w:hAnsi="Times New Roman"/>
      <w:sz w:val="20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default="1" w:styleId="Style_1" w:type="table">
    <w:name w:val="Normal Table"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styleId="Style_35" w:type="table">
    <w:name w:val="Сетка таблицы2"/>
    <w:basedOn w:val="Style_1"/>
    <w:pPr>
      <w:spacing w:after="0" w:line="240" w:lineRule="auto"/>
      <w:ind/>
    </w:pPr>
    <w:rPr>
      <w:rFonts w:ascii="Times New Roman" w:hAnsi="Times New Roman"/>
      <w:sz w:val="20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2" w:type="table">
    <w:name w:val="Table Grid"/>
    <w:basedOn w:val="Style_1"/>
    <w:pPr>
      <w:spacing w:after="0" w:line="240" w:lineRule="auto"/>
      <w:ind/>
    </w:p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13" Target="numbering.xml" Type="http://schemas.openxmlformats.org/officeDocument/2006/relationships/numbering"/>
  <Relationship Id="rId11" Target="webSettings.xml" Type="http://schemas.openxmlformats.org/officeDocument/2006/relationships/webSettings"/>
  <Relationship Id="rId10" Target="stylesWithEffects.xml" Type="http://schemas.microsoft.com/office/2007/relationships/stylesWithEffects"/>
  <Relationship Id="rId9" Target="styles.xml" Type="http://schemas.openxmlformats.org/officeDocument/2006/relationships/styles"/>
  <Relationship Id="rId8" Target="settings.xml" Type="http://schemas.openxmlformats.org/officeDocument/2006/relationships/settings"/>
  <Relationship Id="rId7" Target="fontTable.xml" Type="http://schemas.openxmlformats.org/officeDocument/2006/relationships/fontTable"/>
  <Relationship Id="rId6" Target="media/5.jpeg" Type="http://schemas.openxmlformats.org/officeDocument/2006/relationships/image"/>
  <Relationship Id="rId5" Target="media/4.jpeg" Type="http://schemas.openxmlformats.org/officeDocument/2006/relationships/image"/>
  <Relationship Id="rId4" Target="media/3.jpeg" Type="http://schemas.openxmlformats.org/officeDocument/2006/relationships/image"/>
  <Relationship Id="rId12" Target="theme/theme1.xml" Type="http://schemas.openxmlformats.org/officeDocument/2006/relationships/theme"/>
  <Relationship Id="rId3" Target="media/2.jpeg" Type="http://schemas.openxmlformats.org/officeDocument/2006/relationships/image"/>
  <Relationship Id="rId2" Target="media/1.jpeg" Type="http://schemas.openxmlformats.org/officeDocument/2006/relationships/image"/>
  <Relationship Id="rId1" Target="header1.xml" Type="http://schemas.openxmlformats.org/officeDocument/2006/relationships/header"/>
</Relationships>
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</a:gradFill>
      </a:fillStyleLst>
      <a:lnStyleLst>
        <a:ln w="6350">
          <a:solidFill>
            <a:schemeClr val="phClr"/>
          </a:solidFill>
          <a:prstDash val="solid"/>
        </a:ln>
        <a:ln w="12700">
          <a:solidFill>
            <a:schemeClr val="phClr"/>
          </a:solidFill>
          <a:prstDash val="solid"/>
        </a:ln>
        <a:ln w="1905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MyOffice-CoreFramework-Linux/28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2023-07-24T01:13:04Z</dcterms:modified>
</cp:coreProperties>
</file>