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280"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проведения процедуры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оценки регулирующего воздействия проектов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нормативных правовых Камчатского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СВОДНЫЙ 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ПРОЦЕДУРЫ ОЦЕНКИ РЕГУЛИРУЮЩЕГО ВОЗДЕЙСТВИЯ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ПРОЕКТА НОРМАТИВНОГО ПРАВОВОГО АКТА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(без проведения публичных консультаций)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0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772"/>
        <w:gridCol w:w="1754"/>
        <w:gridCol w:w="1217"/>
        <w:gridCol w:w="3055"/>
        <w:gridCol w:w="1561"/>
        <w:gridCol w:w="341"/>
        <w:gridCol w:w="8"/>
        <w:gridCol w:w="1495"/>
      </w:tblGrid>
      <w:tr>
        <w:trPr/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проведения публичных консультаций по проекту нормативного правового акта Камчатского края:</w:t>
            </w:r>
          </w:p>
        </w:tc>
      </w:tr>
      <w:tr>
        <w:trPr/>
        <w:tc>
          <w:tcPr>
            <w:tcW w:w="3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начало: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окончание: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информация: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Исполнительный орган Камчатского края (далее – регулирующий орган):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Сведения об иных исполнительных органах Камчатского края - соисполнителях: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  <w:u w:val="single"/>
              </w:rPr>
              <w:t>Соисполнители отсутствуют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 и наименование проекта нормативного правового акта Камчатского края: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Постановление Правительства Камчатского края от 20.04.2022 № 197-П «Об утверждении Порядка предоставления в пользование участков недр местного значения на территории Камчатского края и порядка оформления, государственной регистрации и выдачи лицензий на пользование участками недр местного значения, внесения изменений в эти лицензии, их переоформления, прекращения права пользования недрами, в том числе досрочного, приостановления осуществления и ограничения права пользования недрами на территории Камчатского края»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Степень регулирующего воздействия: 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низкая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(высокая/средняя/низкая)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Обоснование отнесения проекта нормативного правового акта Камчатского края к определенной степени регулирующего воздействия: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Проект нормативного правового акта Камчатского края отменяет ранее установленное положение, которое приводит или может привести к недопущению, ограничению, устранению конкуренции при предоставлении права пользования участками недр местного значения на территории Камчатского края, а именно отменяет запрет для субъектов предпринимательской и иной экономической деятельности в части предоставления возможности получения права пользования участком недр местного значения для в случае, если заявка подана инициатором включения данного участка недр в перечень участков недр местного значения. 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Контактная информация исполнителя регулирующего органа: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(последнее – при наличии):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Касьянюк Елена Евгеньевна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2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Заместитель начальника отдела недропользования и горной промышленности Министерства 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+7(4152) 42-51-08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Адрес электронной почты: 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  <w:lang w:val="en-US"/>
              </w:rPr>
              <w:t>KasyanyukEE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  <w:lang w:val="en-US"/>
              </w:rPr>
              <w:t>kamgov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Формулировка проблемы: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Проект постановления Правительства Камчатского края разработан в целях устранения положений, которые приводят или могут привести к недопущению, ограничению, устранению конкуренции при предоставлении права пользования участками недр местного значения на территории Камчатского края.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Управлением Федеральной антимонопольной службы по Камчатскому края выявлено нарушение антимонопольного законодательства Российской Федерации, в целях устранения которого приказом Управления Федеральной антимонопольной службы по Камчатскому края от 06.03.2023 № 13-П, № 14-П возбуждено дело в отношении Министерства природных ресурсов и экологии Камчатского края по признакам нарушения части 1 статьи 15 Федерального закона от 26.07.2006 года № 135-ФЗ «О защите конкуренции» и создана Комиссии по рассмотрению дела о нарушении антимонопольного законодательства).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запрет для субъектов предпринимательской и иной экономической деятельности в части предоставления возможности получения права пользования участком недр местного значения для в случае, если заявка подана инициатором включения данного участка недр в перечень участков недр местного значения.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Факторы, поддерживающие существование проблемы: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постановлением Правительства Камчатского края от 20.04.2022 № 197-П утвержден Порядок предоставления в пользование участков недр местного значения на территории Камчатского края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Наличие требований Порядка предоставления в пользование участков недр местного значения на территории Камчатского края, утвержденного постановлением Правительства Камчатского края от 20.04.2022 № 197-П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274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Определение целей предлагаемого правового регулирования и индикаторов для оценки их достижения:</w:t>
            </w:r>
          </w:p>
        </w:tc>
      </w:tr>
      <w:tr>
        <w:trPr/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>
        <w:trPr/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Устранение положения, которое приводит или может привести к недопущению, ограничению, устранению конкуренции при предоставлении права пользования участками недр местного значения на территории Камчатского края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01.05.2023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>
        <w:trPr/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участников (краткое описание их качественных характеристик)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>
        <w:trPr/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Суммарная статистика на дату подготовки проекта постановления Правительства отсутствует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Новые (или изменяемые) функции (полномочия, обязанности, права) исполнительного органа Камчатского, а также порядка их реализации в связи с введением предлагаемого правового регулирования или изменение содержания существующих функций (полномочий, обязанностей, прав) исполнительного органа Камчатского края, а также порядка их реализации в связи с введением предлагаемого</w:t>
            </w:r>
          </w:p>
        </w:tc>
      </w:tr>
      <w:tr>
        <w:trPr/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Оценка изменения потребностей в других ресурсах</w:t>
            </w:r>
          </w:p>
        </w:tc>
      </w:tr>
      <w:tr>
        <w:trPr/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 Министерство природных ресурсов и экологии Камчатского края</w:t>
            </w:r>
          </w:p>
        </w:tc>
      </w:tr>
      <w:tr>
        <w:trPr/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Предоставление возможности получения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ископаемых, в случае поступления в Министерство двух или более заявок от субъектов предпринимательской деятельности 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Изменяемая: организация проведения 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 в случае поступления в Министерство двух или более заявок от субъектов предпринимательской деятельности на предоставление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отсутствуют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Оценка дополнительных расходов (доходов) бюджета Камчатского края, связанных с введением предлагаемого правового регулирования: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6.2. Виды расходов (возможных поступлений) бюджета Камчатского края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 Количественная оценка расходов (возможных поступлений) бюджета Камчатского края</w:t>
            </w:r>
          </w:p>
        </w:tc>
      </w:tr>
      <w:tr>
        <w:trPr/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исполнительного органа Камчатского края: Министерство природных ресурсов и экологии Камчатского края</w:t>
            </w:r>
          </w:p>
        </w:tc>
      </w:tr>
      <w:tr>
        <w:trPr/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обязанность или право)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 расходы в __________________гг.: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за период ____________________гг.: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 за период 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Единовременные расходы в __________________гг.: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Периодические расходы за период 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37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Возможные доходы за период 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8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единовременные расходы за период __________________________________гг.: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8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периодические расходы за период ____________________________________гг.: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8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возможные доходы за период _______________________________________гг.: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отсутствует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 сведения о дополнительных расходах (доходах) бюджета Камчатского края, возникающих в связи с введением предлагаемого правового регулирования: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Увеличение расходов финансовых средств из краевого бюджета не планируется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6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данных: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Закон Российской Федерации от 21.02.1992 № 2395-1 «О недрах»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6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Новые или изменяющие ранее предусмотренные нормативными правовыми актами Камчатского края обязательные требования, обязанности и запреты для субъектов предпринимательской и иной экономической деятельности, а также устанавливающие или изменяющие ранее установленную ответственность за нарушение нормативных правовых актов края, затрагивающих вопросы осуществления предпринимательской и иной экономической деятельности, а также порядок организации их исполнения: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6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 Новые или изменяющие ранее предусмотренные нормативными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правовыми актами Камчатского края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обязательные требования, обязанности и запреты для субъектов предпринимательской и иной экономической деятельности,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 также устанавливающие или изменяющие ранее установленную ответственность за нарушение нормативных правовых актов Камчатского края, затрагивающих вопросы осуществления предпринимательской и иной экономической деятельности, а также порядок организации их исполнения (с указанием соответствующих положений проекта нормативного правового акта)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>
        <w:trPr/>
        <w:tc>
          <w:tcPr>
            <w:tcW w:w="2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Обязательные требования для субъектов предпринимательской и иной экономической деятельности, а также порядок организации их исполнения установлен Законом Российской Федерации от 21.02.1992 № 2395-1 «О недрах» 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5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оценке: отсутствуют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6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данных: отсутствуют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62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Сравнение возможных вариантов решения проблемы: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варианты решения проблемы отсутствуют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Вариант 3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Организация проведения 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 в случае поступления в Министерство двух или более заявок от субъектов предпринимательской деятельности на предоставление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оценивается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8.3. Оценка дополнительных расходов (доходов) потенциальных адресатов регулирования, связанных с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введением предлагаемого правового регулирования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оценивается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8.4. Оценка расходов (доходов) бюджета Камчатского края,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связанных с введением предлагаемого правового регулирования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Расходы на организацию аукциона на право пользования участком недр местного значения, компенсируемые сбором за участие в аукционе. Увеличение доходов бюджета Камчатского края за счет поступления дополнительных платежей за счет разового платежа за пользование недрами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8.5. Оценка возможности достижения заявленных целей регулирования (раздел 3 сводного отчета) посредством применения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рассматриваемых вариантов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предлагаемого правового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регулирования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Устранение положения, которое приводит или может привести к недопущению, ограничению, устранению конкуренции при предоставлении права пользования участками недр местного значения на территории Камчатского края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Обоснование выбора предпочтительного варианта решения выявленной проблемы: -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  <w:tr>
        <w:trPr/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>Организация проведения аукциона на право пользования участком недр местного значения в целях геологического изучения, разведки и добычи общераспространенных полезных ископаемых (по совмещенной лицензии) в случае поступления в Министерство двух или более заявок от субъектов предпринимательской деятельности на предоставление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</w:t>
            </w:r>
          </w:p>
        </w:tc>
      </w:tr>
      <w:tr>
        <w:trPr/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ar207"/>
      <w:bookmarkStart w:id="2" w:name="Par207"/>
      <w:bookmarkEnd w:id="2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85"/>
        <w:gridCol w:w="2347"/>
        <w:gridCol w:w="2191"/>
      </w:tblGrid>
      <w:tr>
        <w:trPr/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регулирующего органа 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Министр природных ресурсов и экологии Камчатского края </w:t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Кумарьков А.А.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4"/>
                <w:szCs w:val="28"/>
                <w:lang w:val="ru-RU" w:eastAsia="ru-RU" w:bidi="ar-SA"/>
              </w:rPr>
              <w:t>инициалы, фамилия</w:t>
            </w:r>
            <w:r>
              <w:rPr>
                <w:rFonts w:eastAsia="Calibri" w:cs="Times New Roman" w:ascii="Times New Roman" w:hAnsi="Times New Roman"/>
                <w:i/>
                <w:kern w:val="0"/>
                <w:sz w:val="24"/>
                <w:szCs w:val="28"/>
                <w:lang w:val="ru-RU" w:eastAsia="en-US" w:bidi="ar-SA"/>
              </w:rPr>
              <w:t>)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22.03.2022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pBdr>
                <w:bottom w:val="single" w:sz="4" w:space="1" w:color="000000"/>
              </w:pBdr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Исп. Касьянюк Елена Евгеньевна, +7(4152) 42-51-08</w:t>
      </w:r>
    </w:p>
    <w:sectPr>
      <w:type w:val="nextPage"/>
      <w:pgSz w:w="11906" w:h="16838"/>
      <w:pgMar w:left="1134" w:right="85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0c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LibreOffice/7.4.4.2$Linux_X86_64 LibreOffice_project/40$Build-2</Application>
  <AppVersion>15.0000</AppVersion>
  <Pages>10</Pages>
  <Words>1565</Words>
  <Characters>12232</Characters>
  <CharactersWithSpaces>13621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2023-03-22T04:19:00Z</dcterms:created>
  <dc:creator>Касьянюк Елена Евгеньевна</dc:creator>
  <dc:description/>
  <dc:language>ru-RU</dc:language>
  <cp:lastModifiedBy/>
  <cp:lastPrinted>2023-03-24T14:47:43Z</cp:lastPrinted>
  <dcterms:modified xsi:type="dcterms:W3CDTF">2023-03-24T14:48:27Z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