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75" w:rsidRPr="000E2375" w:rsidRDefault="000E2375" w:rsidP="000E2375">
      <w:r w:rsidRPr="000E2375">
        <w:t>ВСЕРОССИЙСКИЙ ПРАКТИЧЕСКИЙ СЕМИНАР</w:t>
      </w:r>
      <w:r w:rsidRPr="000E2375">
        <w:rPr>
          <w:lang w:bidi="x-none"/>
        </w:rPr>
        <w:t xml:space="preserve"> </w:t>
      </w:r>
    </w:p>
    <w:p w:rsidR="000E2375" w:rsidRPr="000E2375" w:rsidRDefault="000E2375" w:rsidP="000E2375"/>
    <w:p w:rsidR="000E2375" w:rsidRPr="000E2375" w:rsidRDefault="000E2375" w:rsidP="000E2375">
      <w:pPr>
        <w:rPr>
          <w:b/>
          <w:bCs/>
        </w:rPr>
      </w:pPr>
      <w:r w:rsidRPr="000E2375">
        <w:rPr>
          <w:b/>
          <w:bCs/>
        </w:rPr>
        <w:t xml:space="preserve">«УПРАВЛЕНИЕ ИНВЕСТИЦИОННОЙ ДЕЯТЕЛЬНОСТЬЮ </w:t>
      </w:r>
    </w:p>
    <w:p w:rsidR="000E2375" w:rsidRPr="000E2375" w:rsidRDefault="000E2375" w:rsidP="000E2375">
      <w:pPr>
        <w:rPr>
          <w:b/>
          <w:bCs/>
        </w:rPr>
      </w:pPr>
      <w:r w:rsidRPr="000E2375">
        <w:rPr>
          <w:b/>
          <w:bCs/>
        </w:rPr>
        <w:t>В ОРГАНАХ ВЛАСТИ И В ОРГАНАХ МЕСТНОГО САМОУПРАВЛЕНИЯ»</w:t>
      </w:r>
    </w:p>
    <w:p w:rsidR="000E2375" w:rsidRPr="000E2375" w:rsidRDefault="000E2375" w:rsidP="000E2375">
      <w:pPr>
        <w:rPr>
          <w:b/>
          <w:bCs/>
        </w:rPr>
      </w:pPr>
    </w:p>
    <w:p w:rsidR="000E2375" w:rsidRPr="000E2375" w:rsidRDefault="000E2375" w:rsidP="000E2375">
      <w:pPr>
        <w:rPr>
          <w:b/>
          <w:i/>
        </w:rPr>
      </w:pPr>
      <w:r w:rsidRPr="000E2375">
        <w:rPr>
          <w:b/>
          <w:i/>
        </w:rPr>
        <w:t>27-28 февраля 2020 года, Санкт-Петербург, ГК «Россия»</w:t>
      </w:r>
    </w:p>
    <w:p w:rsidR="000E2375" w:rsidRPr="000E2375" w:rsidRDefault="000E2375" w:rsidP="000E2375">
      <w:pPr>
        <w:rPr>
          <w:b/>
        </w:rPr>
      </w:pPr>
    </w:p>
    <w:p w:rsidR="000E2375" w:rsidRPr="000E2375" w:rsidRDefault="000E2375" w:rsidP="000E2375">
      <w:pPr>
        <w:rPr>
          <w:b/>
        </w:rPr>
      </w:pPr>
      <w:r w:rsidRPr="000E2375">
        <w:rPr>
          <w:b/>
        </w:rPr>
        <w:t>На семинаре будут рассмотрены следующие вопросы:</w:t>
      </w:r>
    </w:p>
    <w:p w:rsidR="000E2375" w:rsidRPr="000E2375" w:rsidRDefault="000E2375" w:rsidP="000E2375">
      <w:pPr>
        <w:numPr>
          <w:ilvl w:val="0"/>
          <w:numId w:val="3"/>
        </w:numPr>
        <w:tabs>
          <w:tab w:val="num" w:pos="-142"/>
        </w:tabs>
        <w:rPr>
          <w:lang w:val="x-none"/>
        </w:rPr>
      </w:pPr>
      <w:r w:rsidRPr="000E2375">
        <w:rPr>
          <w:b/>
          <w:lang w:val="x-none"/>
        </w:rPr>
        <w:t xml:space="preserve">Новации бюджетного планирования. </w:t>
      </w:r>
      <w:r w:rsidRPr="000E2375">
        <w:rPr>
          <w:lang w:val="x-none"/>
        </w:rPr>
        <w:t>Проблемы муниципального управления. Оценка качества управления муниципальными финансами. Концепция повышения эффективности бюджетных расходов в 2020-2024 годах: общие положения и основные новации. Современные инструменты повышения качества бюджетного планирования. </w:t>
      </w:r>
    </w:p>
    <w:p w:rsidR="000E2375" w:rsidRPr="000E2375" w:rsidRDefault="000E2375" w:rsidP="000E2375">
      <w:pPr>
        <w:numPr>
          <w:ilvl w:val="0"/>
          <w:numId w:val="3"/>
        </w:numPr>
        <w:tabs>
          <w:tab w:val="num" w:pos="-142"/>
        </w:tabs>
        <w:rPr>
          <w:lang w:val="x-none"/>
        </w:rPr>
      </w:pPr>
      <w:r w:rsidRPr="000E2375">
        <w:rPr>
          <w:b/>
          <w:lang w:val="x-none"/>
        </w:rPr>
        <w:t>От стратегических целей – к проектировкам бюджета.</w:t>
      </w:r>
      <w:r w:rsidRPr="000E2375">
        <w:rPr>
          <w:lang w:val="x-none"/>
        </w:rPr>
        <w:t xml:space="preserve"> Применение проектного управления для решения стратегических задач на муниципальном уровне. Необходимость и экономическая эффективность применения проектного управления. Муниципальная стратегия развития в системе национальных и региональных стратегических приоритетов. Участники проектного управления, функции, необходимый набор профессиональных навыков, шаблоны основных инструментов проектного управления – календарный план, ТЭО проекта, бюджет проекта.</w:t>
      </w:r>
    </w:p>
    <w:p w:rsidR="000E2375" w:rsidRPr="000E2375" w:rsidRDefault="000E2375" w:rsidP="000E2375">
      <w:pPr>
        <w:numPr>
          <w:ilvl w:val="0"/>
          <w:numId w:val="3"/>
        </w:numPr>
        <w:tabs>
          <w:tab w:val="num" w:pos="-142"/>
        </w:tabs>
        <w:rPr>
          <w:lang w:val="x-none"/>
        </w:rPr>
      </w:pPr>
      <w:r w:rsidRPr="000E2375">
        <w:rPr>
          <w:b/>
          <w:lang w:val="x-none"/>
        </w:rPr>
        <w:t>Управление инвестиционной деятельностью.</w:t>
      </w:r>
      <w:r w:rsidRPr="000E2375">
        <w:rPr>
          <w:lang w:val="x-none"/>
        </w:rPr>
        <w:t xml:space="preserve"> Инвестиционная стратегия – путь к привлечению инвестиций извне. Оптимальная организационная структура, необходимые правовые акты, эффективные инструменты привлечения инвестиций и повышения эффективности бюджетных инвестиций: преференции, субсидии, льготы, гарантии; страхование рисков; сопровождение инвестиционных проектов; информационное сопровождение. Финансовое моделирование инвестиционных проектов: оценка затрат на реализацию проекта; оценка эффективности; варианты финансирования. Планирование инвестиций: инвестиционная стратегия; связь с территориальным планированием; «портфель» инвестиционных проектов; «жизненный» и бюджетный циклы проекта; программы и проекты – бюджета. Варианты инвестиционных соглашений – выбор оптимальных условий.</w:t>
      </w:r>
    </w:p>
    <w:p w:rsidR="000E2375" w:rsidRPr="000E2375" w:rsidRDefault="000E2375" w:rsidP="000E2375">
      <w:pPr>
        <w:numPr>
          <w:ilvl w:val="0"/>
          <w:numId w:val="3"/>
        </w:numPr>
        <w:tabs>
          <w:tab w:val="num" w:pos="-142"/>
        </w:tabs>
        <w:rPr>
          <w:lang w:val="x-none"/>
        </w:rPr>
      </w:pPr>
      <w:r w:rsidRPr="000E2375">
        <w:rPr>
          <w:b/>
          <w:lang w:val="x-none"/>
        </w:rPr>
        <w:t xml:space="preserve">Основные достижения и опыт регионов в создании благоприятного инвестиционного климата. </w:t>
      </w:r>
      <w:r w:rsidRPr="000E2375">
        <w:rPr>
          <w:lang w:val="x-none"/>
        </w:rPr>
        <w:t>Опыт Москвы (МО или региона) управления инвестициями: система  принятия инвестиционных решений, двухуровневое планирование инвестиций, финансовое моделирование, уполномоченные органы, функции, результаты, АИС управления инвестициями, сервисы инвестору, система сопровождения инвестиционных инициатив проектов и аналитические материалы.</w:t>
      </w:r>
    </w:p>
    <w:p w:rsidR="000E2375" w:rsidRPr="000E2375" w:rsidRDefault="000E2375" w:rsidP="000E2375">
      <w:pPr>
        <w:numPr>
          <w:ilvl w:val="0"/>
          <w:numId w:val="3"/>
        </w:numPr>
        <w:tabs>
          <w:tab w:val="num" w:pos="-142"/>
        </w:tabs>
        <w:rPr>
          <w:lang w:val="x-none"/>
        </w:rPr>
      </w:pPr>
      <w:r w:rsidRPr="000E2375">
        <w:rPr>
          <w:b/>
          <w:lang w:val="x-none"/>
        </w:rPr>
        <w:t>Новые возможности по привлечению дополнительных источников дохода.</w:t>
      </w:r>
      <w:r w:rsidRPr="000E2375">
        <w:rPr>
          <w:lang w:val="x-none"/>
        </w:rPr>
        <w:t xml:space="preserve"> Бюджетные инвестиции – стимул для привлечения инвестиций извне. Бюджетные трансферты, частные инвестиции, новые механизмы привлечения инвестиций в инфраструктурные проекты (концессия, офсетные контракты, контракты жизненного цикла).</w:t>
      </w:r>
    </w:p>
    <w:p w:rsidR="000E2375" w:rsidRPr="000E2375" w:rsidRDefault="000E2375" w:rsidP="000E2375">
      <w:pPr>
        <w:numPr>
          <w:ilvl w:val="0"/>
          <w:numId w:val="3"/>
        </w:numPr>
        <w:tabs>
          <w:tab w:val="num" w:pos="-142"/>
        </w:tabs>
        <w:rPr>
          <w:lang w:val="x-none"/>
        </w:rPr>
      </w:pPr>
      <w:r w:rsidRPr="000E2375">
        <w:rPr>
          <w:b/>
          <w:lang w:val="x-none"/>
        </w:rPr>
        <w:t>ГЧП и МЧП как средство повышения инвестиционной привлекательности муниципальных образований.</w:t>
      </w:r>
      <w:r w:rsidRPr="000E2375">
        <w:rPr>
          <w:lang w:val="x-none"/>
        </w:rPr>
        <w:t xml:space="preserve"> Практика привлечения внебюджетных инвестиций в субъектах РФ. Порядок взаимодействия органов власти с частными партнерами: выбор </w:t>
      </w:r>
      <w:r w:rsidRPr="000E2375">
        <w:rPr>
          <w:lang w:val="x-none"/>
        </w:rPr>
        <w:lastRenderedPageBreak/>
        <w:t>объектов, условия конкурса, господдержка проектов. Межведомственное взаимодействие.</w:t>
      </w:r>
    </w:p>
    <w:p w:rsidR="000E2375" w:rsidRPr="000E2375" w:rsidRDefault="000E2375" w:rsidP="000E2375">
      <w:pPr>
        <w:numPr>
          <w:ilvl w:val="0"/>
          <w:numId w:val="3"/>
        </w:numPr>
        <w:tabs>
          <w:tab w:val="num" w:pos="-142"/>
        </w:tabs>
        <w:rPr>
          <w:lang w:val="x-none"/>
        </w:rPr>
      </w:pPr>
      <w:r w:rsidRPr="000E2375">
        <w:rPr>
          <w:b/>
          <w:lang w:val="x-none"/>
        </w:rPr>
        <w:t>Финансово-экономические аспекты проектов ГЧП.</w:t>
      </w:r>
      <w:r w:rsidRPr="000E2375">
        <w:rPr>
          <w:lang w:val="x-none"/>
        </w:rPr>
        <w:t xml:space="preserve"> Источники и инструменты финансирования. Инвестиционный анализ в формировании проектного финансирования. Финансовое моделирование. Исходные данные для разработок финансовых моделей. Методика оценки и показатели эффективности проектов ГЧП. Минимизация рисков при заключении соглашений. Отраслевая специфика соглашений о ГЧП и МЧП. Заключение концессионных соглашений для развития транспортной инфраструктуры, коммунального хозяйства, социальной сферы, энергетики.</w:t>
      </w:r>
    </w:p>
    <w:p w:rsidR="000E2375" w:rsidRPr="000E2375" w:rsidRDefault="000E2375" w:rsidP="000E2375">
      <w:pPr>
        <w:numPr>
          <w:ilvl w:val="0"/>
          <w:numId w:val="3"/>
        </w:numPr>
        <w:tabs>
          <w:tab w:val="num" w:pos="-142"/>
        </w:tabs>
        <w:rPr>
          <w:lang w:val="x-none"/>
        </w:rPr>
      </w:pPr>
      <w:r w:rsidRPr="000E2375">
        <w:rPr>
          <w:b/>
          <w:lang w:val="x-none"/>
        </w:rPr>
        <w:t>Государственное и муниципальное имущество-инструмент для привлечения инвесторов.</w:t>
      </w:r>
      <w:r w:rsidRPr="000E2375">
        <w:rPr>
          <w:lang w:val="x-none"/>
        </w:rPr>
        <w:t xml:space="preserve"> Использование муниципального залогового фонда и ипотеки муниципальной недвижимости. Сделки с муниципальным имуществом: приватизация, аренда, концессия. Включение имущества в состав казны, вывод из состава казны. Возможности передачи муниципального имущества в концессию. Процедуры предоставления земельных участков из муниципальных земель. Порядок предоставления участков в бессрочное и безвозмездное пользование.</w:t>
      </w:r>
    </w:p>
    <w:p w:rsidR="000E2375" w:rsidRPr="000E2375" w:rsidRDefault="000E2375" w:rsidP="000E2375">
      <w:pPr>
        <w:rPr>
          <w:b/>
          <w:lang w:val="x-none"/>
        </w:rPr>
      </w:pPr>
    </w:p>
    <w:p w:rsidR="000E2375" w:rsidRPr="000E2375" w:rsidRDefault="000E2375" w:rsidP="000E2375">
      <w:pPr>
        <w:rPr>
          <w:b/>
        </w:rPr>
      </w:pPr>
    </w:p>
    <w:p w:rsidR="000E2375" w:rsidRPr="000E2375" w:rsidRDefault="000E2375" w:rsidP="000E2375">
      <w:pPr>
        <w:rPr>
          <w:b/>
        </w:rPr>
      </w:pPr>
      <w:r w:rsidRPr="000E2375">
        <w:rPr>
          <w:b/>
        </w:rPr>
        <w:t>В СЕМИНАРЕ ПРИНИМАЮТ УЧАСТИЕ:</w:t>
      </w:r>
    </w:p>
    <w:p w:rsidR="000E2375" w:rsidRPr="000E2375" w:rsidRDefault="000E2375" w:rsidP="000E2375">
      <w:pPr>
        <w:rPr>
          <w:b/>
        </w:rPr>
      </w:pPr>
    </w:p>
    <w:p w:rsidR="000E2375" w:rsidRPr="000E2375" w:rsidRDefault="000E2375" w:rsidP="000E2375">
      <w:pPr>
        <w:numPr>
          <w:ilvl w:val="0"/>
          <w:numId w:val="4"/>
        </w:numPr>
      </w:pPr>
      <w:r w:rsidRPr="000E2375">
        <w:rPr>
          <w:b/>
        </w:rPr>
        <w:t xml:space="preserve">ПАДИЛЬЯ САРОСА Людмила Юрьевна </w:t>
      </w:r>
      <w:r w:rsidRPr="000E2375">
        <w:t>– начальник Управления сводных экономических показателей Департамента экономической политики и развития города Москвы</w:t>
      </w:r>
    </w:p>
    <w:p w:rsidR="000E2375" w:rsidRPr="000E2375" w:rsidRDefault="000E2375" w:rsidP="000E2375">
      <w:pPr>
        <w:numPr>
          <w:ilvl w:val="0"/>
          <w:numId w:val="4"/>
        </w:numPr>
      </w:pPr>
      <w:r w:rsidRPr="000E2375">
        <w:rPr>
          <w:b/>
        </w:rPr>
        <w:t xml:space="preserve">МАСЛОВА Марина Викторовна </w:t>
      </w:r>
      <w:r w:rsidRPr="000E2375">
        <w:t>– Член Экспертного совета Общероссийской общественной организации «Всероссийский Совет местного самоуправления», член Научно-экспертного совета Общероссийского Конгресса Муниципальных образований Российской Федерации, консультант Фонда «Институт экономики города»</w:t>
      </w:r>
    </w:p>
    <w:p w:rsidR="000E2375" w:rsidRPr="000E2375" w:rsidRDefault="000E2375" w:rsidP="000E2375">
      <w:pPr>
        <w:numPr>
          <w:ilvl w:val="0"/>
          <w:numId w:val="4"/>
        </w:numPr>
      </w:pPr>
      <w:r w:rsidRPr="000E2375">
        <w:rPr>
          <w:b/>
        </w:rPr>
        <w:t xml:space="preserve">ХОМЧЕНКО Дмитрий Юрьевич </w:t>
      </w:r>
      <w:r w:rsidRPr="000E2375">
        <w:t>– ведущий эксперт Управления отраслей экономики Аналитического центра при Правительстве РФ, разработчик Федерального закона «О концессионных соглашениях»</w:t>
      </w:r>
    </w:p>
    <w:p w:rsidR="000E2375" w:rsidRPr="000E2375" w:rsidRDefault="000E2375" w:rsidP="000E2375"/>
    <w:p w:rsidR="000E2375" w:rsidRPr="000E2375" w:rsidRDefault="000E2375" w:rsidP="000E2375">
      <w:pPr>
        <w:rPr>
          <w:b/>
          <w:bCs/>
        </w:rPr>
      </w:pPr>
      <w:r w:rsidRPr="000E2375">
        <w:rPr>
          <w:b/>
          <w:bCs/>
        </w:rPr>
        <w:t>УСЛОВИЯ УЧАСТИЯ В СЕМИНАРЕ:</w:t>
      </w:r>
    </w:p>
    <w:p w:rsidR="000E2375" w:rsidRPr="000E2375" w:rsidRDefault="000E2375" w:rsidP="000E2375"/>
    <w:p w:rsidR="000E2375" w:rsidRPr="000E2375" w:rsidRDefault="000E2375" w:rsidP="000E2375">
      <w:r w:rsidRPr="000E2375">
        <w:t xml:space="preserve">Участникам семинара выдается именное удостоверение о повышении квалификации, раздаточные материалы от лекторов и комплект финансовых документов: договор, счет-фактура, акт выполненных работ, копия лицензии на образовательную деятельность.  </w:t>
      </w:r>
    </w:p>
    <w:p w:rsidR="000E2375" w:rsidRPr="000E2375" w:rsidRDefault="000E2375" w:rsidP="000E2375">
      <w:r w:rsidRPr="000E2375">
        <w:t>Организаторы оставляют за собой право вносить в заявленную программу незначительные изменения.</w:t>
      </w:r>
    </w:p>
    <w:p w:rsidR="000E2375" w:rsidRPr="000E2375" w:rsidRDefault="000E2375" w:rsidP="000E2375">
      <w:r w:rsidRPr="000E2375">
        <w:t xml:space="preserve">    </w:t>
      </w:r>
    </w:p>
    <w:p w:rsidR="000E2375" w:rsidRPr="000E2375" w:rsidRDefault="000E2375" w:rsidP="000E2375">
      <w:r w:rsidRPr="000E2375">
        <w:t>О принятом Вами решении просим сообщить в Организационный комитет</w:t>
      </w:r>
    </w:p>
    <w:p w:rsidR="000E2375" w:rsidRPr="000E2375" w:rsidRDefault="000E2375" w:rsidP="000E2375">
      <w:pPr>
        <w:numPr>
          <w:ilvl w:val="0"/>
          <w:numId w:val="1"/>
        </w:numPr>
        <w:rPr>
          <w:bCs/>
        </w:rPr>
      </w:pPr>
      <w:r w:rsidRPr="000E2375">
        <w:rPr>
          <w:b/>
        </w:rPr>
        <w:t xml:space="preserve">Исаичевой Елене Николаевне по тел.: </w:t>
      </w:r>
      <w:r w:rsidRPr="000E2375">
        <w:rPr>
          <w:b/>
          <w:bCs/>
        </w:rPr>
        <w:t xml:space="preserve">8-965-187-51-14 </w:t>
      </w:r>
    </w:p>
    <w:p w:rsidR="000E2375" w:rsidRPr="000E2375" w:rsidRDefault="000E2375" w:rsidP="000E2375">
      <w:pPr>
        <w:numPr>
          <w:ilvl w:val="0"/>
          <w:numId w:val="1"/>
        </w:numPr>
        <w:rPr>
          <w:b/>
        </w:rPr>
      </w:pPr>
      <w:r w:rsidRPr="000E2375">
        <w:rPr>
          <w:b/>
        </w:rPr>
        <w:lastRenderedPageBreak/>
        <w:t xml:space="preserve">или по эл. почте: </w:t>
      </w:r>
      <w:hyperlink r:id="rId5" w:history="1">
        <w:r w:rsidRPr="000E2375">
          <w:rPr>
            <w:rStyle w:val="a3"/>
            <w:b/>
            <w:lang w:val="en-US"/>
          </w:rPr>
          <w:t>isaichewae</w:t>
        </w:r>
        <w:r w:rsidRPr="000E2375">
          <w:rPr>
            <w:rStyle w:val="a3"/>
            <w:b/>
          </w:rPr>
          <w:t>@</w:t>
        </w:r>
      </w:hyperlink>
      <w:r w:rsidRPr="000E2375">
        <w:rPr>
          <w:b/>
          <w:lang w:val="en-US"/>
        </w:rPr>
        <w:t>yandex</w:t>
      </w:r>
      <w:r w:rsidRPr="000E2375">
        <w:rPr>
          <w:b/>
        </w:rPr>
        <w:t>.</w:t>
      </w:r>
      <w:r w:rsidRPr="000E2375">
        <w:rPr>
          <w:b/>
          <w:lang w:val="en-US"/>
        </w:rPr>
        <w:t>ru</w:t>
      </w:r>
    </w:p>
    <w:p w:rsidR="000E2375" w:rsidRPr="000E2375" w:rsidRDefault="000E2375" w:rsidP="000E2375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522"/>
        <w:gridCol w:w="5151"/>
      </w:tblGrid>
      <w:tr w:rsidR="000E2375" w:rsidRPr="000E2375" w:rsidTr="00271CD9">
        <w:tc>
          <w:tcPr>
            <w:tcW w:w="5954" w:type="dxa"/>
          </w:tcPr>
          <w:p w:rsidR="000E2375" w:rsidRPr="000E2375" w:rsidRDefault="000E2375" w:rsidP="000E2375">
            <w:pPr>
              <w:rPr>
                <w:b/>
              </w:rPr>
            </w:pPr>
            <w:r w:rsidRPr="000E2375">
              <w:rPr>
                <w:b/>
              </w:rPr>
              <w:t>МЕСТО ПРОВЕДЕНИЯ СЕМИНАРА:</w:t>
            </w:r>
          </w:p>
          <w:p w:rsidR="000E2375" w:rsidRPr="000E2375" w:rsidRDefault="000E2375" w:rsidP="000E2375"/>
          <w:p w:rsidR="000E2375" w:rsidRPr="000E2375" w:rsidRDefault="000E2375" w:rsidP="000E2375">
            <w:pPr>
              <w:numPr>
                <w:ilvl w:val="0"/>
                <w:numId w:val="2"/>
              </w:numPr>
              <w:tabs>
                <w:tab w:val="num" w:pos="432"/>
              </w:tabs>
            </w:pPr>
            <w:r w:rsidRPr="000E2375">
              <w:t xml:space="preserve">Семинар будет проходить в конгресс-центре гостиничного </w:t>
            </w:r>
            <w:proofErr w:type="gramStart"/>
            <w:r w:rsidRPr="000E2375">
              <w:t>комплекса  «</w:t>
            </w:r>
            <w:proofErr w:type="gramEnd"/>
            <w:r w:rsidRPr="000E2375">
              <w:t>Россия».</w:t>
            </w:r>
          </w:p>
          <w:p w:rsidR="000E2375" w:rsidRPr="000E2375" w:rsidRDefault="000E2375" w:rsidP="000E2375">
            <w:pPr>
              <w:numPr>
                <w:ilvl w:val="0"/>
                <w:numId w:val="2"/>
              </w:numPr>
              <w:tabs>
                <w:tab w:val="num" w:pos="432"/>
              </w:tabs>
            </w:pPr>
            <w:r w:rsidRPr="000E2375">
              <w:t xml:space="preserve">Адрес: 196070, Санкт-Петербург, пл. Чернышевского, 11. </w:t>
            </w:r>
          </w:p>
          <w:p w:rsidR="000E2375" w:rsidRPr="000E2375" w:rsidRDefault="000E2375" w:rsidP="000E2375">
            <w:pPr>
              <w:numPr>
                <w:ilvl w:val="0"/>
                <w:numId w:val="2"/>
              </w:numPr>
              <w:tabs>
                <w:tab w:val="num" w:pos="432"/>
              </w:tabs>
            </w:pPr>
            <w:r w:rsidRPr="000E2375">
              <w:t xml:space="preserve">Проезд: станция метро «Парк Победы» </w:t>
            </w:r>
          </w:p>
          <w:p w:rsidR="000E2375" w:rsidRPr="000E2375" w:rsidRDefault="000E2375" w:rsidP="000E2375"/>
          <w:p w:rsidR="000E2375" w:rsidRPr="000E2375" w:rsidRDefault="000E2375" w:rsidP="000E2375">
            <w:pPr>
              <w:rPr>
                <w:b/>
              </w:rPr>
            </w:pPr>
            <w:r w:rsidRPr="000E2375">
              <w:rPr>
                <w:b/>
              </w:rPr>
              <w:t>УСЛОВИЯ БРОНИРОВАНИЯ ГОСТИНИЦЫ:</w:t>
            </w:r>
          </w:p>
          <w:p w:rsidR="000E2375" w:rsidRPr="000E2375" w:rsidRDefault="000E2375" w:rsidP="000E2375">
            <w:pPr>
              <w:rPr>
                <w:b/>
              </w:rPr>
            </w:pPr>
          </w:p>
          <w:p w:rsidR="000E2375" w:rsidRPr="000E2375" w:rsidRDefault="000E2375" w:rsidP="000E2375">
            <w:pPr>
              <w:numPr>
                <w:ilvl w:val="0"/>
                <w:numId w:val="2"/>
              </w:numPr>
              <w:tabs>
                <w:tab w:val="num" w:pos="432"/>
              </w:tabs>
            </w:pPr>
            <w:r w:rsidRPr="000E2375">
              <w:t>Если Вам необходимо забронировать номер в гостинице «Россия», просим обращаться по телефону: +7 (812) 612-82-09 или по e-</w:t>
            </w:r>
            <w:proofErr w:type="spellStart"/>
            <w:r w:rsidRPr="000E2375">
              <w:t>mail</w:t>
            </w:r>
            <w:proofErr w:type="spellEnd"/>
            <w:r w:rsidRPr="000E2375">
              <w:t xml:space="preserve">: m-corp-1@turris-management.ru </w:t>
            </w:r>
          </w:p>
        </w:tc>
        <w:tc>
          <w:tcPr>
            <w:tcW w:w="5203" w:type="dxa"/>
          </w:tcPr>
          <w:p w:rsidR="000E2375" w:rsidRPr="000E2375" w:rsidRDefault="000E2375" w:rsidP="000E2375">
            <w:r w:rsidRPr="000E2375">
              <w:drawing>
                <wp:inline distT="0" distB="0" distL="0" distR="0">
                  <wp:extent cx="3076575" cy="2238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DAC" w:rsidRDefault="00E33DAC">
      <w:bookmarkStart w:id="0" w:name="_GoBack"/>
      <w:bookmarkEnd w:id="0"/>
    </w:p>
    <w:sectPr w:rsidR="00E3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7B4"/>
    <w:multiLevelType w:val="hybridMultilevel"/>
    <w:tmpl w:val="19923814"/>
    <w:lvl w:ilvl="0" w:tplc="6130F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4853"/>
    <w:multiLevelType w:val="hybridMultilevel"/>
    <w:tmpl w:val="46F808A2"/>
    <w:lvl w:ilvl="0" w:tplc="6130F8F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DCF1F6A"/>
    <w:multiLevelType w:val="hybridMultilevel"/>
    <w:tmpl w:val="DAB84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79DF"/>
    <w:multiLevelType w:val="multilevel"/>
    <w:tmpl w:val="42A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AC"/>
    <w:rsid w:val="000236BB"/>
    <w:rsid w:val="000E2375"/>
    <w:rsid w:val="005E3667"/>
    <w:rsid w:val="00792D87"/>
    <w:rsid w:val="00A92A94"/>
    <w:rsid w:val="00E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A2E8"/>
  <w15:chartTrackingRefBased/>
  <w15:docId w15:val="{7330D04A-F6DA-4FC7-9DF0-B6AAA53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saichewae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Мария Сергеевна</dc:creator>
  <cp:keywords/>
  <dc:description/>
  <cp:lastModifiedBy>Симонова Мария Сергеевна</cp:lastModifiedBy>
  <cp:revision>1</cp:revision>
  <dcterms:created xsi:type="dcterms:W3CDTF">2020-02-11T23:41:00Z</dcterms:created>
  <dcterms:modified xsi:type="dcterms:W3CDTF">2020-02-12T02:37:00Z</dcterms:modified>
</cp:coreProperties>
</file>