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CE4D90">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Pr="00C166ED" w:rsidR="0025067A">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Pr="00C166ED" w:rsidR="0025067A">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proofErr w:type="gramStart"/>
            <w:r w:rsidRPr="00C166ED" w:rsidR="0025067A">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Pr="00C166ED" w:rsidR="0025067A">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Pr="00C166ED" w:rsidR="0025067A">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CE4D90">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Pr="0025067A" w:rsidR="002F2EC6">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154FE2"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154FE2" w:rsidTr="00B70BD0">
              <w:tc>
                <w:tcPr>
                  <w:tcW w:w="474" w:type="pct"/>
                  <w:tcBorders>
                    <w:top w:val="nil"/>
                    <w:left w:val="nil"/>
                    <w:bottom w:val="nil"/>
                    <w:right w:val="nil"/>
                  </w:tcBorders>
                </w:tcPr>
                <w:p w:rsidRPr="00EB6BE3" w:rsidR="00154FE2" w:rsidP="00B70BD0" w:rsidRDefault="00154FE2">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154FE2" w:rsidP="00B70BD0" w:rsidRDefault="00154FE2">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01/02/08-19/00006396</w:t>
                  </w:r>
                </w:p>
              </w:tc>
            </w:tr>
            <w:tr w:rsidR="00154FE2" w:rsidTr="00B70BD0">
              <w:tc>
                <w:tcPr>
                  <w:tcW w:w="5000" w:type="pct"/>
                  <w:gridSpan w:val="2"/>
                  <w:tcBorders>
                    <w:top w:val="nil"/>
                    <w:left w:val="nil"/>
                    <w:bottom w:val="nil"/>
                    <w:right w:val="nil"/>
                  </w:tcBorders>
                </w:tcPr>
                <w:p w:rsidRPr="000B49CC" w:rsidR="00154FE2" w:rsidP="00B70BD0" w:rsidRDefault="00154FE2">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154FE2" w:rsidP="00B70BD0" w:rsidRDefault="00154FE2">
            <w:pPr>
              <w:spacing w:before="120" w:after="120"/>
              <w:rPr>
                <w:rFonts w:ascii="Times New Roman" w:hAnsi="Times New Roman" w:cs="Times New Roman"/>
                <w:b/>
                <w:sz w:val="28"/>
                <w:szCs w:val="28"/>
              </w:rPr>
            </w:pPr>
          </w:p>
        </w:tc>
        <w:tc>
          <w:tcPr>
            <w:tcW w:w="3308" w:type="pct"/>
            <w:gridSpan w:val="2"/>
          </w:tcPr>
          <w:p w:rsidRPr="000B49CC" w:rsidR="00154FE2" w:rsidP="00B70BD0" w:rsidRDefault="00154FE2">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154FE2" w:rsidTr="00B70BD0">
        <w:trPr>
          <w:trHeight w:val="158"/>
        </w:trPr>
        <w:tc>
          <w:tcPr>
            <w:tcW w:w="1692" w:type="pct"/>
            <w:vMerge/>
          </w:tcPr>
          <w:p w:rsidRPr="000B49CC" w:rsidR="00154FE2" w:rsidP="00B70BD0" w:rsidRDefault="00154FE2">
            <w:pPr>
              <w:rPr>
                <w:rFonts w:ascii="Times New Roman" w:hAnsi="Times New Roman" w:cs="Times New Roman"/>
                <w:sz w:val="28"/>
                <w:szCs w:val="28"/>
              </w:rPr>
            </w:pPr>
          </w:p>
        </w:tc>
        <w:tc>
          <w:tcPr>
            <w:tcW w:w="746" w:type="pct"/>
          </w:tcPr>
          <w:p w:rsidRPr="00112232" w:rsidR="00154FE2" w:rsidP="00B70BD0" w:rsidRDefault="00154FE2">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154FE2" w:rsidP="00B70BD0" w:rsidRDefault="00154FE2">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154FE2" w:rsidTr="00B70BD0">
        <w:trPr>
          <w:trHeight w:val="157"/>
        </w:trPr>
        <w:tc>
          <w:tcPr>
            <w:tcW w:w="1692" w:type="pct"/>
            <w:vMerge/>
          </w:tcPr>
          <w:p w:rsidRPr="000B49CC" w:rsidR="00154FE2" w:rsidP="00B70BD0" w:rsidRDefault="00154FE2">
            <w:pPr>
              <w:rPr>
                <w:rFonts w:ascii="Times New Roman" w:hAnsi="Times New Roman" w:cs="Times New Roman"/>
                <w:sz w:val="28"/>
                <w:szCs w:val="28"/>
              </w:rPr>
            </w:pPr>
          </w:p>
        </w:tc>
        <w:tc>
          <w:tcPr>
            <w:tcW w:w="746" w:type="pct"/>
          </w:tcPr>
          <w:p w:rsidRPr="00112232" w:rsidR="00154FE2" w:rsidP="00B70BD0" w:rsidRDefault="00154FE2">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154FE2" w:rsidP="00B70BD0" w:rsidRDefault="00154FE2">
            <w:pPr>
              <w:rPr>
                <w:rFonts w:ascii="Times New Roman" w:hAnsi="Times New Roman" w:cs="Times New Roman"/>
                <w:sz w:val="28"/>
                <w:szCs w:val="28"/>
                <w:lang w:val="en-US"/>
              </w:rPr>
            </w:pPr>
            <w:r>
              <w:rPr>
                <w:rFonts w:ascii="Times New Roman" w:hAnsi="Times New Roman" w:cs="Times New Roman"/>
                <w:sz w:val="28"/>
                <w:szCs w:val="28"/>
                <w:lang w:val="en-US"/>
              </w:rPr>
              <w:t>27.08.2019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154FE2" w:rsidP="00B70BD0" w:rsidRDefault="00154FE2">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Иные исполнительные органы государственной власти Камчатского края к разработке проекта приказа не привлекались</w:t>
            </w:r>
          </w:p>
          <w:p w:rsidR="00154FE2" w:rsidP="00B70BD0" w:rsidRDefault="00154FE2">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приложение к приказу Агентства инвестиций и предпринимательства Камчатского края от 05.07.2017 № 71-п «Об утверждении порядка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154FE2" w:rsidP="00B70BD0" w:rsidRDefault="00154FE2">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внутренней проверки выявлены замечания правового и юридико-технического характера. А также в целях развития и поддержки субъектов малого и сроеднего предпринимательства (далее – СМСП)  в соотвествии с государственной программой Камчатского края «Развитие экономики и внешнеэкономической деятельности Камчатского края», утвержденой постановлением Правительства Камчатского края от 29.11.2013 № 521-П и Бюджетным кодексом Российской Федерации от 31 июля 1998 г. N 145-ФЗ</w:t>
            </w:r>
          </w:p>
          <w:p w:rsidR="00154FE2" w:rsidP="00B70BD0" w:rsidRDefault="00154FE2">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w:t>
            </w:r>
          </w:p>
          <w:p w:rsidR="00154FE2" w:rsidP="00B70BD0" w:rsidRDefault="00154FE2">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целях исключения возникновения негативных правовых последствий. Приведение в соответствие с требованиями действующего законодательства Российской федерации. 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w:t>
            </w:r>
          </w:p>
          <w:p w:rsidR="00154FE2" w:rsidP="00B70BD0" w:rsidRDefault="00154FE2">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Pr="00E316A9" w:rsidR="00154FE2" w:rsidP="00B70BD0" w:rsidRDefault="00154FE2">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P="00B70BD0" w:rsidRDefault="00154FE2">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приказа предусматривает положения, которыми вносятся следующие изменения: 1)	в приложении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 в части 1 после слов «юридическом лице» дополнить словами «, информация о месте осуществления деятельности».</w:t>
            </w:r>
          </w:p>
          <w:p w:rsidRPr="00016EE4" w:rsidR="00154FE2" w:rsidP="00B70BD0" w:rsidRDefault="00154FE2">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154FE2" w:rsidP="00B70BD0" w:rsidRDefault="00154FE2">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P="00B70BD0" w:rsidRDefault="00154FE2">
            <w:pPr>
              <w:jc w:val="center"/>
              <w:rPr>
                <w:rFonts w:ascii="Times New Roman" w:hAnsi="Times New Roman" w:cs="Times New Roman"/>
                <w:sz w:val="28"/>
                <w:szCs w:val="28"/>
              </w:rPr>
            </w:pPr>
          </w:p>
        </w:tc>
        <w:tc>
          <w:tcPr>
            <w:tcW w:w="1694" w:type="pct"/>
            <w:tcBorders>
              <w:right w:val="single" w:color="auto" w:sz="4" w:space="0"/>
            </w:tcBorders>
          </w:tcPr>
          <w:p w:rsidR="00154FE2" w:rsidP="00B70BD0" w:rsidRDefault="00154FE2">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154FE2" w:rsidP="00B70BD0" w:rsidRDefault="00154FE2">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154FE2" w:rsidTr="00B70BD0">
        <w:tc>
          <w:tcPr>
            <w:tcW w:w="405" w:type="pct"/>
            <w:vMerge/>
          </w:tcPr>
          <w:p w:rsidR="00154FE2" w:rsidP="00B70BD0" w:rsidRDefault="00154FE2">
            <w:pPr>
              <w:jc w:val="center"/>
              <w:rPr>
                <w:rFonts w:ascii="Times New Roman" w:hAnsi="Times New Roman" w:cs="Times New Roman"/>
                <w:sz w:val="28"/>
                <w:szCs w:val="28"/>
              </w:rPr>
            </w:pPr>
          </w:p>
        </w:tc>
        <w:tc>
          <w:tcPr>
            <w:tcW w:w="1694" w:type="pct"/>
            <w:tcBorders>
              <w:right w:val="single" w:color="auto" w:sz="4" w:space="0"/>
            </w:tcBorders>
          </w:tcPr>
          <w:p w:rsidR="00154FE2" w:rsidP="00B70BD0" w:rsidRDefault="00154FE2">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154FE2" w:rsidP="00B70BD0" w:rsidRDefault="00154FE2">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P="00B70BD0" w:rsidRDefault="00154FE2">
            <w:pPr>
              <w:jc w:val="center"/>
              <w:rPr>
                <w:rFonts w:ascii="Times New Roman" w:hAnsi="Times New Roman" w:cs="Times New Roman"/>
                <w:sz w:val="28"/>
                <w:szCs w:val="28"/>
              </w:rPr>
            </w:pPr>
          </w:p>
        </w:tc>
        <w:tc>
          <w:tcPr>
            <w:tcW w:w="1694" w:type="pct"/>
            <w:tcBorders>
              <w:right w:val="single" w:color="auto" w:sz="4" w:space="0"/>
            </w:tcBorders>
          </w:tcPr>
          <w:p w:rsidR="00154FE2" w:rsidP="00B70BD0" w:rsidRDefault="00154FE2">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154FE2" w:rsidP="00B70BD0" w:rsidRDefault="00154FE2">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154FE2" w:rsidTr="00B70BD0">
        <w:trPr>
          <w:trHeight w:val="249"/>
        </w:trPr>
        <w:tc>
          <w:tcPr>
            <w:tcW w:w="405" w:type="pct"/>
            <w:vMerge/>
          </w:tcPr>
          <w:p w:rsidR="00154FE2" w:rsidP="00B70BD0" w:rsidRDefault="00154FE2">
            <w:pPr>
              <w:jc w:val="center"/>
              <w:rPr>
                <w:rFonts w:ascii="Times New Roman" w:hAnsi="Times New Roman" w:cs="Times New Roman"/>
                <w:sz w:val="28"/>
                <w:szCs w:val="28"/>
              </w:rPr>
            </w:pPr>
          </w:p>
        </w:tc>
        <w:tc>
          <w:tcPr>
            <w:tcW w:w="1694" w:type="pct"/>
            <w:tcBorders>
              <w:right w:val="single" w:color="auto" w:sz="4" w:space="0"/>
            </w:tcBorders>
          </w:tcPr>
          <w:p w:rsidR="00154FE2" w:rsidP="00B70BD0" w:rsidRDefault="00154FE2">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154FE2" w:rsidP="00B70BD0" w:rsidRDefault="00154FE2">
            <w:pPr>
              <w:jc w:val="center"/>
              <w:rPr>
                <w:rFonts w:ascii="Times New Roman" w:hAnsi="Times New Roman" w:cs="Times New Roman"/>
                <w:sz w:val="28"/>
                <w:szCs w:val="28"/>
                <w:lang w:val="en-US"/>
              </w:rPr>
            </w:pPr>
            <w:r>
              <w:rPr>
                <w:rFonts w:ascii="Times New Roman" w:hAnsi="Times New Roman" w:cs="Times New Roman"/>
                <w:sz w:val="28"/>
                <w:szCs w:val="28"/>
                <w:lang w:val="en-US"/>
              </w:rPr>
              <w:t>GroshenkoVA@kamgov.ru</w:t>
            </w:r>
          </w:p>
        </w:tc>
      </w:tr>
    </w:tbl>
    <w:p w:rsidRPr="006960E3" w:rsidR="00154FE2"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154FE2" w:rsidP="00B70BD0" w:rsidRDefault="00154FE2">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154FE2" w:rsidP="00B70BD0" w:rsidRDefault="00154FE2">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P="00B70BD0" w:rsidRDefault="00154FE2">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P="00B70BD0" w:rsidRDefault="00154FE2">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154FE2"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P="00B70BD0" w:rsidRDefault="00154FE2">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приказа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области сбора и переработки дикоросов. 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Pr="00016EE4" w:rsidR="00154FE2" w:rsidP="00B70BD0" w:rsidRDefault="00154FE2">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P="00B70BD0" w:rsidRDefault="00154FE2">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P="00B70BD0" w:rsidRDefault="00154FE2">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P="00B70BD0" w:rsidRDefault="00154FE2">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Министерства юстиций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154FE2" w:rsidP="00B70BD0" w:rsidRDefault="00154FE2">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154FE2" w:rsidP="00B70BD0" w:rsidRDefault="00154FE2">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154FE2" w:rsidP="00B70BD0" w:rsidRDefault="00154FE2">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P="00B70BD0" w:rsidRDefault="00154FE2">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P="00B70BD0" w:rsidRDefault="00154FE2">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154FE2" w:rsidP="00B70BD0" w:rsidRDefault="00154FE2">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P="00B70BD0" w:rsidRDefault="00154FE2">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154FE2" w:rsidP="00B70BD0" w:rsidRDefault="00154FE2">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Иная информация о проблеме отсутствует</w:t>
            </w:r>
          </w:p>
          <w:p w:rsidR="00154FE2" w:rsidP="00B70BD0" w:rsidRDefault="00154FE2">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73026" w:rsidTr="00E57FA6">
        <w:tc>
          <w:tcPr>
            <w:tcW w:w="405" w:type="pct"/>
          </w:tcPr>
          <w:p w:rsidR="00473026" w:rsidP="0020278C" w:rsidRDefault="00E915C2">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P="00CF3551" w:rsidRDefault="00CF3551">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sidR="00473026">
              <w:rPr>
                <w:rFonts w:ascii="Times New Roman" w:hAnsi="Times New Roman" w:cs="Times New Roman"/>
                <w:sz w:val="28"/>
                <w:szCs w:val="28"/>
              </w:rPr>
              <w:t>:</w:t>
            </w:r>
          </w:p>
          <w:p w:rsidR="00CF3551" w:rsidP="00CF3551" w:rsidRDefault="00154FE2">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Pr="00016EE4" w:rsidR="00473026" w:rsidP="0020278C" w:rsidRDefault="00473026">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P="0020278C" w:rsidRDefault="00E915C2">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sidR="00473026">
              <w:rPr>
                <w:rFonts w:ascii="Times New Roman" w:hAnsi="Times New Roman" w:cs="Times New Roman"/>
                <w:sz w:val="28"/>
                <w:szCs w:val="28"/>
              </w:rPr>
              <w:t>.2.</w:t>
            </w:r>
          </w:p>
        </w:tc>
        <w:tc>
          <w:tcPr>
            <w:tcW w:w="4595" w:type="pct"/>
          </w:tcPr>
          <w:p w:rsidR="00473026" w:rsidP="0020278C" w:rsidRDefault="00E915C2">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Pr="00253EAD" w:rsidR="00473026" w:rsidP="0020278C" w:rsidRDefault="00154FE2">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73026" w:rsidP="0020278C" w:rsidRDefault="0047302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253EAD" w:rsidTr="00E57FA6">
        <w:trPr>
          <w:trHeight w:val="55"/>
        </w:trPr>
        <w:tc>
          <w:tcPr>
            <w:tcW w:w="405" w:type="pct"/>
          </w:tcPr>
          <w:p w:rsidRPr="001D3F35" w:rsidR="00253EAD" w:rsidP="00253EAD" w:rsidRDefault="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253EAD" w:rsidP="00CF3551" w:rsidRDefault="001D3F35">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253EAD" w:rsidP="00253EAD" w:rsidRDefault="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253EAD" w:rsidP="00CF3551" w:rsidRDefault="001D3F35">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Pr="00471D4A" w:rsidR="00154FE2" w:rsidP="00154FE2" w:rsidRDefault="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154FE2" w:rsidP="00154FE2"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август-сентябрь 2019 года</w:t>
            </w:r>
          </w:p>
        </w:tc>
      </w:tr>
      <w:tr w:rsidR="00154FE2" w:rsidTr="00E57FA6">
        <w:trPr>
          <w:trHeight w:val="52"/>
        </w:trPr>
        <w:tc>
          <w:tcPr>
            <w:tcW w:w="2370" w:type="pct"/>
            <w:gridSpan w:val="2"/>
          </w:tcPr>
          <w:p w:rsidRPr="001D3F35" w:rsidR="00154FE2" w:rsidP="00154FE2"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154FE2" w:rsidP="00154FE2"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Pr="001D3F35" w:rsidR="00154FE2" w:rsidP="00154FE2"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154FE2" w:rsidP="00154FE2"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P="00253EAD" w:rsidRDefault="00E31B2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P="00CF3551" w:rsidRDefault="00CF3551">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P="00CF3551" w:rsidRDefault="00154FE2">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Проект приказа разработан в соответствии с основными стратегическими документами социально-экономического развития РФ и Камчатского края</w:t>
            </w:r>
          </w:p>
          <w:p w:rsidR="00CF3551" w:rsidP="0020278C" w:rsidRDefault="00CF3551">
            <w:pPr>
              <w:pStyle w:val="a4"/>
              <w:ind w:left="0"/>
              <w:jc w:val="center"/>
              <w:rPr>
                <w:rFonts w:ascii="Times New Roman" w:hAnsi="Times New Roman" w:cs="Times New Roman"/>
                <w:i/>
                <w:sz w:val="28"/>
                <w:szCs w:val="28"/>
              </w:rPr>
            </w:pPr>
          </w:p>
          <w:p w:rsidR="0089208D" w:rsidP="0020278C" w:rsidRDefault="0089208D">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P="00253EAD" w:rsidRDefault="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P="0020278C" w:rsidRDefault="00AB4CD7">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Pr="0089208D" w:rsidR="00253EAD" w:rsidP="0020278C" w:rsidRDefault="00154FE2">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253EAD" w:rsidP="0020278C" w:rsidRDefault="00253EAD">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860F03" w:rsidTr="00E57FA6">
        <w:tc>
          <w:tcPr>
            <w:tcW w:w="405" w:type="pct"/>
          </w:tcPr>
          <w:p w:rsidR="00860F03" w:rsidP="0020278C" w:rsidRDefault="00860F03">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P="00CF3551" w:rsidRDefault="00860F03">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CF3551" w:rsidP="0020278C" w:rsidRDefault="00154FE2">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в целях реализации государственной программы субъекта Российской Федерации. Нормы проекта приказа являются правоустанавливающими, устанавливают право СМСП обратиться за финансовой поддержкой</w:t>
            </w:r>
          </w:p>
          <w:p w:rsidRPr="00016EE4" w:rsidR="00860F03" w:rsidP="0020278C" w:rsidRDefault="00860F03">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P="0020278C" w:rsidRDefault="00860F03">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P="00CF3551" w:rsidRDefault="00860F03">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P="00CF3551" w:rsidRDefault="00154FE2">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860F03" w:rsidP="0020278C" w:rsidRDefault="00860F03">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P="0020278C" w:rsidRDefault="00860F03">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P="0020278C" w:rsidRDefault="00860F03">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P="0020278C" w:rsidRDefault="00154FE2">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P="0020278C" w:rsidRDefault="00860F03">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P="0020278C" w:rsidRDefault="00700A1D">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P="0020278C" w:rsidRDefault="00700A1D">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P="0020278C" w:rsidRDefault="00154FE2">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700A1D" w:rsidP="0020278C" w:rsidRDefault="00700A1D">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3467FE" w:rsidTr="00E57FA6">
        <w:trPr>
          <w:trHeight w:val="55"/>
        </w:trPr>
        <w:tc>
          <w:tcPr>
            <w:tcW w:w="405" w:type="pct"/>
          </w:tcPr>
          <w:p w:rsidRPr="001D3F35" w:rsidR="003467FE" w:rsidP="0020278C" w:rsidRDefault="006F5DC5">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sidR="003467FE">
              <w:rPr>
                <w:rFonts w:ascii="Times New Roman" w:hAnsi="Times New Roman" w:cs="Times New Roman"/>
                <w:sz w:val="28"/>
                <w:szCs w:val="28"/>
              </w:rPr>
              <w:t>.1.</w:t>
            </w:r>
          </w:p>
        </w:tc>
        <w:tc>
          <w:tcPr>
            <w:tcW w:w="1965" w:type="pct"/>
          </w:tcPr>
          <w:p w:rsidRPr="001D3F35" w:rsidR="003467FE" w:rsidP="00CF3551" w:rsidRDefault="006F5DC5">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sidR="003467FE">
              <w:rPr>
                <w:rFonts w:ascii="Times New Roman" w:hAnsi="Times New Roman" w:cs="Times New Roman"/>
                <w:sz w:val="28"/>
                <w:szCs w:val="28"/>
              </w:rPr>
              <w:t>:</w:t>
            </w:r>
          </w:p>
        </w:tc>
        <w:tc>
          <w:tcPr>
            <w:tcW w:w="407" w:type="pct"/>
          </w:tcPr>
          <w:p w:rsidRPr="001D3F35" w:rsidR="003467FE" w:rsidP="0020278C" w:rsidRDefault="006F5DC5">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sidR="003467FE">
              <w:rPr>
                <w:rFonts w:ascii="Times New Roman" w:hAnsi="Times New Roman" w:cs="Times New Roman"/>
                <w:sz w:val="28"/>
                <w:szCs w:val="28"/>
              </w:rPr>
              <w:t>.2.</w:t>
            </w:r>
          </w:p>
        </w:tc>
        <w:tc>
          <w:tcPr>
            <w:tcW w:w="2223" w:type="pct"/>
          </w:tcPr>
          <w:p w:rsidRPr="001D3F35" w:rsidR="003467FE" w:rsidP="00CF3551" w:rsidRDefault="006F5DC5">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sidR="003467FE">
              <w:rPr>
                <w:rFonts w:ascii="Times New Roman" w:hAnsi="Times New Roman" w:cs="Times New Roman"/>
                <w:sz w:val="28"/>
                <w:szCs w:val="28"/>
              </w:rPr>
              <w:t>:</w:t>
            </w:r>
          </w:p>
        </w:tc>
      </w:tr>
      <w:tr w:rsidR="00906A0A" w:rsidTr="00E57FA6">
        <w:trPr>
          <w:trHeight w:val="52"/>
        </w:trPr>
        <w:tc>
          <w:tcPr>
            <w:tcW w:w="5000" w:type="pct"/>
            <w:gridSpan w:val="4"/>
          </w:tcPr>
          <w:p w:rsidRPr="001D3F35" w:rsidR="00906A0A" w:rsidP="0083358C" w:rsidRDefault="00CF3551">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Pr="00906A0A"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Pr="00906A0A" w:rsidR="00154FE2" w:rsidP="00B70BD0" w:rsidRDefault="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154FE2" w:rsidTr="00E57FA6">
        <w:trPr>
          <w:trHeight w:val="52"/>
        </w:trPr>
        <w:tc>
          <w:tcPr>
            <w:tcW w:w="2370" w:type="pct"/>
            <w:gridSpan w:val="2"/>
          </w:tcPr>
          <w:p w:rsidRPr="001D3F35" w:rsidR="00154FE2" w:rsidP="00B70BD0" w:rsidRDefault="00154FE2">
            <w:pPr>
              <w:pStyle w:val="a4"/>
              <w:ind w:left="0"/>
              <w:rPr>
                <w:rFonts w:ascii="Times New Roman" w:hAnsi="Times New Roman" w:cs="Times New Roman"/>
                <w:sz w:val="28"/>
                <w:szCs w:val="28"/>
              </w:rPr>
            </w:pPr>
          </w:p>
        </w:tc>
        <w:tc>
          <w:tcPr>
            <w:tcW w:w="2630" w:type="pct"/>
            <w:gridSpan w:val="2"/>
          </w:tcPr>
          <w:p w:rsidRPr="001D3F35" w:rsidR="00154FE2" w:rsidP="00B70BD0" w:rsidRDefault="00154FE2">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Pr="001D3F35" w:rsidR="00154FE2" w:rsidP="00B70BD0" w:rsidRDefault="00154FE2">
            <w:pPr>
              <w:pStyle w:val="a4"/>
              <w:ind w:left="0"/>
              <w:rPr>
                <w:rFonts w:ascii="Times New Roman" w:hAnsi="Times New Roman" w:cs="Times New Roman"/>
                <w:sz w:val="28"/>
                <w:szCs w:val="28"/>
              </w:rPr>
            </w:pPr>
          </w:p>
        </w:tc>
        <w:tc>
          <w:tcPr>
            <w:tcW w:w="2630" w:type="pct"/>
            <w:gridSpan w:val="2"/>
          </w:tcPr>
          <w:p w:rsidRPr="001D3F35" w:rsidR="00154FE2" w:rsidP="00B70BD0" w:rsidRDefault="00154FE2">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Pr="0083358C" w:rsidR="0083358C" w:rsidP="0083358C" w:rsidRDefault="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Pr="001D3F35" w:rsidR="00154FE2" w:rsidP="00B70BD0" w:rsidRDefault="00154FE2">
            <w:pPr>
              <w:pStyle w:val="a4"/>
              <w:ind w:left="0"/>
              <w:rPr>
                <w:rFonts w:ascii="Times New Roman" w:hAnsi="Times New Roman" w:cs="Times New Roman"/>
                <w:sz w:val="28"/>
                <w:szCs w:val="28"/>
              </w:rPr>
            </w:pPr>
          </w:p>
        </w:tc>
        <w:tc>
          <w:tcPr>
            <w:tcW w:w="2630" w:type="pct"/>
            <w:gridSpan w:val="2"/>
          </w:tcPr>
          <w:p w:rsidRPr="001D3F35" w:rsidR="00154FE2" w:rsidP="00B70BD0" w:rsidRDefault="00154FE2">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P="00B70BD0" w:rsidRDefault="00154FE2">
            <w:pPr>
              <w:pStyle w:val="a4"/>
              <w:ind w:left="0"/>
              <w:rPr>
                <w:rFonts w:ascii="Times New Roman" w:hAnsi="Times New Roman" w:cs="Times New Roman"/>
                <w:sz w:val="28"/>
                <w:szCs w:val="28"/>
                <w:lang w:val="en-US"/>
              </w:rPr>
            </w:pPr>
          </w:p>
        </w:tc>
        <w:tc>
          <w:tcPr>
            <w:tcW w:w="2630" w:type="pct"/>
            <w:gridSpan w:val="2"/>
          </w:tcPr>
          <w:p w:rsidR="00154FE2" w:rsidP="00B70BD0" w:rsidRDefault="00154FE2">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Pr="0083358C" w:rsidR="00154FE2" w:rsidP="00B70BD0" w:rsidRDefault="00154FE2">
            <w:pPr>
              <w:pStyle w:val="a4"/>
              <w:ind w:left="0"/>
              <w:rPr>
                <w:rFonts w:ascii="Times New Roman" w:hAnsi="Times New Roman" w:cs="Times New Roman"/>
                <w:sz w:val="28"/>
                <w:szCs w:val="28"/>
              </w:rPr>
            </w:pPr>
          </w:p>
        </w:tc>
        <w:tc>
          <w:tcPr>
            <w:tcW w:w="2630" w:type="pct"/>
            <w:gridSpan w:val="2"/>
          </w:tcPr>
          <w:p w:rsidRPr="0083358C" w:rsidR="00154FE2" w:rsidP="00B70BD0" w:rsidRDefault="00154FE2">
            <w:pPr>
              <w:pStyle w:val="a4"/>
              <w:ind w:left="0"/>
              <w:rPr>
                <w:rFonts w:ascii="Times New Roman" w:hAnsi="Times New Roman" w:cs="Times New Roman"/>
                <w:sz w:val="28"/>
                <w:szCs w:val="28"/>
              </w:rPr>
            </w:pPr>
          </w:p>
        </w:tc>
      </w:tr>
      <w:tr w:rsidR="001D2467" w:rsidTr="00E57FA6">
        <w:tc>
          <w:tcPr>
            <w:tcW w:w="405" w:type="pct"/>
          </w:tcPr>
          <w:p w:rsidR="001D2467" w:rsidP="001D2467" w:rsidRDefault="000F779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P="001D2467" w:rsidRDefault="000F7794">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Pr="008148B1" w:rsidR="002C6215" w:rsidP="001D2467" w:rsidRDefault="00154FE2">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https://ofd.nalog.ru/ </w:t>
            </w:r>
          </w:p>
          <w:p w:rsidR="001D2467" w:rsidP="001D2467" w:rsidRDefault="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BB2E8D" w:rsidTr="00E57FA6">
        <w:tc>
          <w:tcPr>
            <w:tcW w:w="1667" w:type="pct"/>
          </w:tcPr>
          <w:p w:rsidRPr="00770DF5" w:rsidR="00BB2E8D" w:rsidP="00086B68" w:rsidRDefault="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sidR="00FB5B21">
              <w:rPr>
                <w:rFonts w:ascii="Times New Roman" w:hAnsi="Times New Roman" w:cs="Times New Roman"/>
                <w:sz w:val="28"/>
                <w:szCs w:val="28"/>
              </w:rPr>
              <w:t>.</w:t>
            </w:r>
          </w:p>
          <w:p w:rsidRPr="00086B68" w:rsidR="00086B68" w:rsidP="00086B68" w:rsidRDefault="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P="00086B68" w:rsidRDefault="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Pr="00086B68" w:rsidR="00086B68" w:rsidP="00086B68" w:rsidRDefault="00086B68">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086B68" w:rsidP="00086B68" w:rsidRDefault="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Pr="00770DF5" w:rsidR="00FB5B21">
              <w:rPr>
                <w:rFonts w:ascii="Times New Roman" w:hAnsi="Times New Roman" w:cs="Times New Roman"/>
                <w:sz w:val="28"/>
                <w:szCs w:val="28"/>
              </w:rPr>
              <w:t>.</w:t>
            </w:r>
          </w:p>
          <w:p w:rsidR="00BB2E8D" w:rsidP="00086B68" w:rsidRDefault="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P="00EA7CC1" w:rsidRDefault="00EF1EE9">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EF1EE9" w:rsidP="00154FE2" w:rsidRDefault="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Pr="00EF1EE9" w:rsidR="00EF1EE9" w:rsidP="00154FE2" w:rsidRDefault="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Pr="00EF1EE9" w:rsidR="00EF1EE9" w:rsidP="00154FE2" w:rsidRDefault="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EF1EE9" w:rsidP="00154FE2" w:rsidRDefault="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 требуется</w:t>
            </w:r>
          </w:p>
        </w:tc>
      </w:tr>
      <w:tr w:rsidR="00EF1EE9" w:rsidTr="00E57FA6">
        <w:tc>
          <w:tcPr>
            <w:tcW w:w="1667" w:type="pct"/>
          </w:tcPr>
          <w:p w:rsidR="00EF1EE9" w:rsidP="00154FE2" w:rsidRDefault="00154FE2">
            <w:pPr>
              <w:rPr>
                <w:rFonts w:ascii="Times New Roman" w:hAnsi="Times New Roman" w:cs="Times New Roman"/>
                <w:sz w:val="28"/>
                <w:szCs w:val="28"/>
              </w:rPr>
            </w:pPr>
            <w:r>
              <w:rPr>
                <w:rFonts w:ascii="Times New Roman" w:hAnsi="Times New Roman" w:cs="Times New Roman"/>
                <w:sz w:val="28"/>
                <w:szCs w:val="28"/>
                <w:lang w:val="en-US"/>
              </w:rPr>
              <w:t>АНО «Камчатский центр поддержки предпринимательства»</w:t>
            </w:r>
          </w:p>
        </w:tc>
        <w:tc>
          <w:tcPr>
            <w:tcW w:w="1667" w:type="pct"/>
          </w:tcPr>
          <w:p w:rsidR="00EF1EE9" w:rsidP="00154FE2" w:rsidRDefault="00154FE2">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EF1EE9" w:rsidP="00154FE2" w:rsidRDefault="00154FE2">
            <w:pPr>
              <w:rPr>
                <w:rFonts w:ascii="Times New Roman" w:hAnsi="Times New Roman" w:cs="Times New Roman"/>
                <w:sz w:val="28"/>
                <w:szCs w:val="28"/>
              </w:rPr>
            </w:pPr>
            <w:r>
              <w:rPr>
                <w:rFonts w:ascii="Times New Roman" w:hAnsi="Times New Roman" w:cs="Times New Roman"/>
                <w:sz w:val="28"/>
                <w:szCs w:val="28"/>
                <w:lang w:val="en-US"/>
              </w:rPr>
              <w:t>Трудозатраты на оформление необходимых документов для предоставления мер поддержки</w:t>
            </w:r>
          </w:p>
        </w:tc>
      </w:tr>
      <w:tr w:rsidR="00EF1EE9" w:rsidTr="00E57FA6">
        <w:tc>
          <w:tcPr>
            <w:tcW w:w="1667" w:type="pct"/>
          </w:tcPr>
          <w:p w:rsidR="00EF1EE9" w:rsidP="00154FE2" w:rsidRDefault="00154FE2">
            <w:pPr>
              <w:rPr>
                <w:rFonts w:ascii="Times New Roman" w:hAnsi="Times New Roman" w:cs="Times New Roman"/>
                <w:sz w:val="28"/>
                <w:szCs w:val="28"/>
              </w:rPr>
            </w:pPr>
          </w:p>
        </w:tc>
        <w:tc>
          <w:tcPr>
            <w:tcW w:w="1667" w:type="pct"/>
          </w:tcPr>
          <w:p w:rsidR="00EF1EE9" w:rsidP="00154FE2" w:rsidRDefault="00154FE2">
            <w:pPr>
              <w:rPr>
                <w:rFonts w:ascii="Times New Roman" w:hAnsi="Times New Roman" w:cs="Times New Roman"/>
                <w:sz w:val="28"/>
                <w:szCs w:val="28"/>
              </w:rPr>
            </w:pPr>
          </w:p>
        </w:tc>
        <w:tc>
          <w:tcPr>
            <w:tcW w:w="1666" w:type="pct"/>
          </w:tcPr>
          <w:p w:rsidR="00EF1EE9" w:rsidP="00154FE2" w:rsidRDefault="00154FE2">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614BC2" w:rsidTr="00DC0C29">
        <w:tc>
          <w:tcPr>
            <w:tcW w:w="1723" w:type="pct"/>
            <w:gridSpan w:val="2"/>
          </w:tcPr>
          <w:p w:rsidRPr="00770DF5" w:rsidR="00D4186E" w:rsidP="00D4186E" w:rsidRDefault="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Pr="00770DF5" w:rsidR="00FB5B21">
              <w:rPr>
                <w:rFonts w:ascii="Times New Roman" w:hAnsi="Times New Roman" w:cs="Times New Roman"/>
                <w:sz w:val="28"/>
                <w:szCs w:val="28"/>
              </w:rPr>
              <w:t>.</w:t>
            </w:r>
          </w:p>
          <w:p w:rsidR="00614BC2" w:rsidP="002C6215" w:rsidRDefault="00D4186E">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P="002C6215" w:rsidRDefault="00D4186E">
            <w:pPr>
              <w:jc w:val="center"/>
              <w:rPr>
                <w:rFonts w:ascii="Times New Roman" w:hAnsi="Times New Roman" w:cs="Times New Roman"/>
                <w:sz w:val="28"/>
                <w:szCs w:val="28"/>
              </w:rPr>
            </w:pPr>
            <w:r w:rsidRPr="00770DF5">
              <w:rPr>
                <w:rFonts w:ascii="Times New Roman" w:hAnsi="Times New Roman" w:cs="Times New Roman"/>
                <w:sz w:val="28"/>
                <w:szCs w:val="28"/>
              </w:rPr>
              <w:t>9.2</w:t>
            </w:r>
            <w:r w:rsidRPr="00770DF5" w:rsidR="00FB5B21">
              <w:rPr>
                <w:rFonts w:ascii="Times New Roman" w:hAnsi="Times New Roman" w:cs="Times New Roman"/>
                <w:sz w:val="28"/>
                <w:szCs w:val="28"/>
              </w:rPr>
              <w:t>.</w:t>
            </w:r>
          </w:p>
          <w:p w:rsidRPr="002C6215" w:rsidR="002C6215" w:rsidP="002C6215" w:rsidRDefault="00D4186E">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sidR="002C6215">
              <w:rPr>
                <w:rFonts w:ascii="Times New Roman" w:hAnsi="Times New Roman" w:cs="Times New Roman"/>
                <w:sz w:val="28"/>
                <w:szCs w:val="28"/>
              </w:rPr>
              <w:t>краевого бюджета</w:t>
            </w:r>
          </w:p>
          <w:p w:rsidR="00614BC2" w:rsidP="00D4186E" w:rsidRDefault="00614BC2">
            <w:pPr>
              <w:jc w:val="center"/>
              <w:rPr>
                <w:rFonts w:ascii="Times New Roman" w:hAnsi="Times New Roman" w:cs="Times New Roman"/>
                <w:sz w:val="28"/>
                <w:szCs w:val="28"/>
              </w:rPr>
            </w:pPr>
          </w:p>
        </w:tc>
        <w:tc>
          <w:tcPr>
            <w:tcW w:w="1396" w:type="pct"/>
          </w:tcPr>
          <w:p w:rsidRPr="00770DF5" w:rsidR="00D4186E" w:rsidP="00D4186E" w:rsidRDefault="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Pr="00770DF5" w:rsidR="00FB5B21">
              <w:rPr>
                <w:rFonts w:ascii="Times New Roman" w:hAnsi="Times New Roman" w:cs="Times New Roman"/>
                <w:sz w:val="28"/>
                <w:szCs w:val="28"/>
              </w:rPr>
              <w:t>.</w:t>
            </w:r>
          </w:p>
          <w:p w:rsidR="00614BC2" w:rsidP="00D4186E" w:rsidRDefault="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Pr="00FB5B21" w:rsidR="00FB5B21" w:rsidP="00EA7CC1" w:rsidRDefault="00FB5B2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FB5B21" w:rsidP="002C6215" w:rsidRDefault="00001BF0">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Pr="001C1530" w:rsidR="00FB5B21" w:rsidP="00DC0C29" w:rsidRDefault="00DC0C29">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714902" w:rsidTr="00DC0C29">
        <w:tc>
          <w:tcPr>
            <w:tcW w:w="439" w:type="pct"/>
            <w:vMerge w:val="restart"/>
          </w:tcPr>
          <w:p w:rsidRPr="00C767C8" w:rsidR="00714902" w:rsidP="00EA7CC1" w:rsidRDefault="00714902">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714902" w:rsidP="00DC0C29" w:rsidRDefault="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Pr="00714902" w:rsidR="00714902" w:rsidP="00EA7CC1" w:rsidRDefault="00714902">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P="00EA7CC1" w:rsidRDefault="00714902">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P="00DC0C29" w:rsidRDefault="00DC0C29">
            <w:pPr>
              <w:rPr>
                <w:rFonts w:ascii="Times New Roman" w:hAnsi="Times New Roman" w:cs="Times New Roman"/>
                <w:sz w:val="28"/>
                <w:szCs w:val="28"/>
              </w:rPr>
            </w:pPr>
            <w:r>
              <w:rPr>
                <w:rFonts w:ascii="Times New Roman" w:hAnsi="Times New Roman" w:cs="Times New Roman"/>
                <w:sz w:val="28"/>
                <w:szCs w:val="28"/>
                <w:lang w:val="en-US"/>
              </w:rPr>
              <w:t>Не более 500 тыс. руб. на одного СМСП</w:t>
            </w:r>
          </w:p>
        </w:tc>
      </w:tr>
      <w:tr w:rsidR="00DC0C29" w:rsidTr="00DC0C29">
        <w:tc>
          <w:tcPr>
            <w:tcW w:w="439" w:type="pct"/>
            <w:vMerge/>
          </w:tcPr>
          <w:p w:rsidR="00DC0C29" w:rsidP="00EA7CC1" w:rsidRDefault="00DC0C29">
            <w:pPr>
              <w:rPr>
                <w:rFonts w:ascii="Times New Roman" w:hAnsi="Times New Roman" w:cs="Times New Roman"/>
                <w:sz w:val="28"/>
                <w:szCs w:val="28"/>
              </w:rPr>
            </w:pPr>
          </w:p>
        </w:tc>
        <w:tc>
          <w:tcPr>
            <w:tcW w:w="1284" w:type="pct"/>
            <w:vMerge/>
          </w:tcPr>
          <w:p w:rsidR="00DC0C29" w:rsidP="00EA7CC1" w:rsidRDefault="00DC0C29">
            <w:pPr>
              <w:rPr>
                <w:rFonts w:ascii="Times New Roman" w:hAnsi="Times New Roman" w:cs="Times New Roman"/>
                <w:sz w:val="28"/>
                <w:szCs w:val="28"/>
              </w:rPr>
            </w:pPr>
          </w:p>
        </w:tc>
        <w:tc>
          <w:tcPr>
            <w:tcW w:w="439" w:type="pct"/>
          </w:tcPr>
          <w:p w:rsidRPr="00714902" w:rsidR="00DC0C29" w:rsidP="00EA7CC1" w:rsidRDefault="00DC0C29">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DC0C29" w:rsidP="00EA7CC1" w:rsidRDefault="00DC0C29">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DC0C29" w:rsidP="00DC0C29" w:rsidRDefault="00DC0C29">
            <w:pPr>
              <w:rPr>
                <w:rFonts w:ascii="Times New Roman" w:hAnsi="Times New Roman" w:cs="Times New Roman"/>
                <w:sz w:val="28"/>
                <w:szCs w:val="28"/>
              </w:rPr>
            </w:pPr>
            <w:r>
              <w:rPr>
                <w:rFonts w:ascii="Times New Roman" w:hAnsi="Times New Roman" w:cs="Times New Roman"/>
                <w:sz w:val="28"/>
                <w:szCs w:val="28"/>
                <w:lang w:val="en-US"/>
              </w:rPr>
              <w:lastRenderedPageBreak/>
              <w:t>На реализацию мер финансовой поддежки Подпрограммой 2 Государственной программы Постановления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на оказание мер государственной поддержки субъектам малого и среднего предпринимательства предусмотрено 104 669,88381 тыс.руб</w:t>
            </w:r>
          </w:p>
        </w:tc>
      </w:tr>
      <w:tr w:rsidR="00DC0C29" w:rsidTr="00DC0C29">
        <w:tc>
          <w:tcPr>
            <w:tcW w:w="439" w:type="pct"/>
            <w:vMerge/>
          </w:tcPr>
          <w:p w:rsidR="00DC0C29" w:rsidP="00EA7CC1" w:rsidRDefault="00DC0C29">
            <w:pPr>
              <w:rPr>
                <w:rFonts w:ascii="Times New Roman" w:hAnsi="Times New Roman" w:cs="Times New Roman"/>
                <w:sz w:val="28"/>
                <w:szCs w:val="28"/>
              </w:rPr>
            </w:pPr>
          </w:p>
        </w:tc>
        <w:tc>
          <w:tcPr>
            <w:tcW w:w="1284" w:type="pct"/>
            <w:vMerge/>
          </w:tcPr>
          <w:p w:rsidR="00DC0C29" w:rsidP="00EA7CC1" w:rsidRDefault="00DC0C29">
            <w:pPr>
              <w:rPr>
                <w:rFonts w:ascii="Times New Roman" w:hAnsi="Times New Roman" w:cs="Times New Roman"/>
                <w:sz w:val="28"/>
                <w:szCs w:val="28"/>
              </w:rPr>
            </w:pPr>
          </w:p>
        </w:tc>
        <w:tc>
          <w:tcPr>
            <w:tcW w:w="439" w:type="pct"/>
          </w:tcPr>
          <w:p w:rsidRPr="00714902" w:rsidR="00DC0C29" w:rsidP="00EA7CC1" w:rsidRDefault="00DC0C29">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DC0C29" w:rsidP="00EA7CC1" w:rsidRDefault="00DC0C29">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P="00DC0C29" w:rsidRDefault="00DC0C29">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DC0C29" w:rsidTr="00DC0C29">
        <w:tc>
          <w:tcPr>
            <w:tcW w:w="439" w:type="pct"/>
          </w:tcPr>
          <w:p w:rsidRPr="00135D57" w:rsidR="00DC0C29" w:rsidP="0020278C" w:rsidRDefault="00DC0C29">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DC0C29" w:rsidP="0020278C" w:rsidRDefault="00DC0C29">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P="00DC0C29" w:rsidRDefault="00DC0C29">
            <w:pPr>
              <w:rPr>
                <w:rFonts w:ascii="Times New Roman" w:hAnsi="Times New Roman" w:cs="Times New Roman"/>
                <w:sz w:val="28"/>
                <w:szCs w:val="28"/>
              </w:rPr>
            </w:pPr>
            <w:r>
              <w:rPr>
                <w:rFonts w:ascii="Times New Roman" w:hAnsi="Times New Roman" w:cs="Times New Roman"/>
                <w:sz w:val="28"/>
                <w:szCs w:val="28"/>
                <w:lang w:val="en-US"/>
              </w:rPr>
              <w:t>Не более 500 тыс. руб. на одного СМСП</w:t>
            </w:r>
          </w:p>
        </w:tc>
      </w:tr>
      <w:tr w:rsidR="00DC0C29" w:rsidTr="00DC0C29">
        <w:tc>
          <w:tcPr>
            <w:tcW w:w="439" w:type="pct"/>
          </w:tcPr>
          <w:p w:rsidRPr="00135D57" w:rsidR="00DC0C29" w:rsidP="0020278C" w:rsidRDefault="00DC0C29">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DC0C29" w:rsidP="0020278C" w:rsidRDefault="00DC0C29">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DC0C29" w:rsidP="00DC0C29" w:rsidRDefault="00DC0C29">
            <w:pPr>
              <w:rPr>
                <w:rFonts w:ascii="Times New Roman" w:hAnsi="Times New Roman" w:cs="Times New Roman"/>
                <w:sz w:val="28"/>
                <w:szCs w:val="28"/>
              </w:rPr>
            </w:pPr>
            <w:r>
              <w:rPr>
                <w:rFonts w:ascii="Times New Roman" w:hAnsi="Times New Roman" w:cs="Times New Roman"/>
                <w:sz w:val="28"/>
                <w:szCs w:val="28"/>
                <w:lang w:val="en-US"/>
              </w:rPr>
              <w:t>104 669,88381тыс.руб.</w:t>
            </w:r>
          </w:p>
        </w:tc>
      </w:tr>
      <w:tr w:rsidR="00DC0C29" w:rsidTr="00DC0C29">
        <w:tc>
          <w:tcPr>
            <w:tcW w:w="439" w:type="pct"/>
          </w:tcPr>
          <w:p w:rsidRPr="00135D57" w:rsidR="00DC0C29" w:rsidP="0020278C" w:rsidRDefault="00DC0C29">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DC0C29" w:rsidP="0020278C" w:rsidRDefault="00DC0C29">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DC0C29" w:rsidP="00DC0C29" w:rsidRDefault="00DC0C29">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DC0C29" w:rsidTr="002C6215">
        <w:tc>
          <w:tcPr>
            <w:tcW w:w="439" w:type="pct"/>
          </w:tcPr>
          <w:p w:rsidRPr="00135D57" w:rsidR="00DC0C29" w:rsidP="0020278C" w:rsidRDefault="00DC0C29">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2C6215" w:rsidR="00DC0C29" w:rsidP="0038753F" w:rsidRDefault="00DC0C29">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DC0C29" w:rsidP="002C6215" w:rsidRDefault="00DC0C29">
            <w:pPr>
              <w:jc w:val="center"/>
              <w:rPr>
                <w:rFonts w:ascii="Times New Roman" w:hAnsi="Times New Roman" w:cs="Times New Roman"/>
                <w:i/>
                <w:sz w:val="28"/>
                <w:szCs w:val="28"/>
              </w:rPr>
            </w:pPr>
            <w:r w:rsidRPr="00DC0C29">
              <w:rPr>
                <w:rFonts w:ascii="Times New Roman" w:hAnsi="Times New Roman" w:cs="Times New Roman"/>
                <w:sz w:val="28"/>
                <w:szCs w:val="28"/>
              </w:rPr>
              <w:t>Информация отсутствует</w:t>
            </w:r>
          </w:p>
          <w:p w:rsidRPr="00A039A7" w:rsidR="00DC0C29" w:rsidP="002C6215" w:rsidRDefault="00DC0C29">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Pr="00135D57" w:rsidR="00DC0C29" w:rsidP="0020278C" w:rsidRDefault="00DC0C29">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P="00A039A7" w:rsidRDefault="00DC0C29">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8148B1" w:rsidR="00DC0C29" w:rsidP="00A039A7" w:rsidRDefault="00DC0C29">
            <w:pPr>
              <w:pBdr>
                <w:bottom w:val="single" w:color="auto" w:sz="4" w:space="1"/>
              </w:pBdr>
              <w:rPr>
                <w:rFonts w:ascii="Times New Roman" w:hAnsi="Times New Roman" w:cs="Times New Roman"/>
                <w:sz w:val="28"/>
                <w:szCs w:val="28"/>
              </w:rPr>
            </w:pPr>
            <w:bookmarkStart w:name="_GoBack" w:id="0"/>
            <w:bookmarkEnd w:id="0"/>
            <w:r w:rsidRPr="008148B1">
              <w:rPr>
                <w:rFonts w:ascii="Times New Roman" w:hAnsi="Times New Roman" w:cs="Times New Roman"/>
                <w:sz w:val="28"/>
                <w:szCs w:val="28"/>
              </w:rPr>
              <w:t>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N 521-П</w:t>
            </w:r>
          </w:p>
          <w:p w:rsidRPr="00A039A7" w:rsidR="00DC0C29" w:rsidP="00A039A7" w:rsidRDefault="00DC0C29">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224583" w:rsidTr="0038753F">
        <w:tc>
          <w:tcPr>
            <w:tcW w:w="955" w:type="pct"/>
          </w:tcPr>
          <w:p w:rsidRPr="00224583" w:rsidR="00224583" w:rsidP="0020278C" w:rsidRDefault="006C5A81">
            <w:pPr>
              <w:jc w:val="center"/>
              <w:rPr>
                <w:rFonts w:ascii="Times New Roman" w:hAnsi="Times New Roman" w:cs="Times New Roman"/>
                <w:sz w:val="28"/>
                <w:szCs w:val="28"/>
              </w:rPr>
            </w:pPr>
            <w:r>
              <w:rPr>
                <w:rFonts w:ascii="Times New Roman" w:hAnsi="Times New Roman" w:cs="Times New Roman"/>
                <w:sz w:val="28"/>
                <w:szCs w:val="28"/>
              </w:rPr>
              <w:t>10</w:t>
            </w:r>
            <w:r w:rsidRPr="00086B68" w:rsidR="00224583">
              <w:rPr>
                <w:rFonts w:ascii="Times New Roman" w:hAnsi="Times New Roman" w:cs="Times New Roman"/>
                <w:sz w:val="28"/>
                <w:szCs w:val="28"/>
              </w:rPr>
              <w:t>.1</w:t>
            </w:r>
            <w:r w:rsidRPr="00224583" w:rsidR="00224583">
              <w:rPr>
                <w:rFonts w:ascii="Times New Roman" w:hAnsi="Times New Roman" w:cs="Times New Roman"/>
                <w:sz w:val="28"/>
                <w:szCs w:val="28"/>
              </w:rPr>
              <w:t>.</w:t>
            </w:r>
          </w:p>
          <w:p w:rsidRPr="00086B68" w:rsidR="00224583" w:rsidP="002C6215"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224583" w:rsidP="0020278C"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10</w:t>
            </w:r>
            <w:r w:rsidRPr="006C5A81" w:rsidR="00224583">
              <w:rPr>
                <w:rFonts w:ascii="Times New Roman" w:hAnsi="Times New Roman" w:cs="Times New Roman"/>
                <w:sz w:val="28"/>
                <w:szCs w:val="28"/>
              </w:rPr>
              <w:t>.2.</w:t>
            </w:r>
          </w:p>
          <w:p w:rsidRPr="006E4095" w:rsidR="00224583" w:rsidP="00CE7EC9" w:rsidRDefault="006C5A81">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sid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224583" w:rsidP="0020278C" w:rsidRDefault="006C5A81">
            <w:pPr>
              <w:jc w:val="center"/>
              <w:rPr>
                <w:rFonts w:ascii="Times New Roman" w:hAnsi="Times New Roman" w:cs="Times New Roman"/>
                <w:sz w:val="28"/>
                <w:szCs w:val="28"/>
              </w:rPr>
            </w:pPr>
            <w:r>
              <w:rPr>
                <w:rFonts w:ascii="Times New Roman" w:hAnsi="Times New Roman" w:cs="Times New Roman"/>
                <w:sz w:val="28"/>
                <w:szCs w:val="28"/>
              </w:rPr>
              <w:t>10</w:t>
            </w:r>
            <w:r w:rsidRPr="00224583" w:rsidR="00224583">
              <w:rPr>
                <w:rFonts w:ascii="Times New Roman" w:hAnsi="Times New Roman" w:cs="Times New Roman"/>
                <w:sz w:val="28"/>
                <w:szCs w:val="28"/>
              </w:rPr>
              <w:t>.3.</w:t>
            </w:r>
          </w:p>
          <w:p w:rsidR="00224583" w:rsidP="00CE7EC9" w:rsidRDefault="006C5A81">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P="000F11DA" w:rsidRDefault="006862D4">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6862D4" w:rsidTr="0038753F">
        <w:trPr>
          <w:trHeight w:val="192"/>
        </w:trPr>
        <w:tc>
          <w:tcPr>
            <w:tcW w:w="955" w:type="pct"/>
            <w:vMerge w:val="restart"/>
          </w:tcPr>
          <w:p w:rsidRPr="00EF1EE9" w:rsidR="006862D4" w:rsidP="0020278C"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2355" w:type="pct"/>
          </w:tcPr>
          <w:p w:rsidRPr="00EF1EE9" w:rsidR="006862D4"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Внесены в приложение к приказу Агентства инвестиций и предпринимательства Камчатского края от 05.07.2017 № 71-п «Об утверждении порядка предоставления субсидий субъектам малого и среднего предпринимательства, осуществляющим деятельность в области сбора и переработки дикоросов» следующие изменения: 1)	в приложении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 в части 1 после слов «юридическом лице» дополнены словами «, информация о месте осуществления деятельности».</w:t>
            </w:r>
          </w:p>
        </w:tc>
        <w:tc>
          <w:tcPr>
            <w:tcW w:w="1690" w:type="pct"/>
          </w:tcPr>
          <w:p w:rsidRPr="00EF1EE9" w:rsidR="006862D4"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порядком</w:t>
            </w:r>
          </w:p>
        </w:tc>
      </w:tr>
      <w:tr w:rsidR="006862D4" w:rsidTr="0038753F">
        <w:trPr>
          <w:trHeight w:val="192"/>
        </w:trPr>
        <w:tc>
          <w:tcPr>
            <w:tcW w:w="955" w:type="pct"/>
            <w:vMerge/>
          </w:tcPr>
          <w:p w:rsidRPr="00EF1EE9" w:rsidR="006862D4" w:rsidP="0020278C" w:rsidRDefault="006862D4">
            <w:pPr>
              <w:rPr>
                <w:rFonts w:ascii="Times New Roman" w:hAnsi="Times New Roman" w:cs="Times New Roman"/>
                <w:sz w:val="28"/>
                <w:szCs w:val="28"/>
                <w:lang w:val="en-US"/>
              </w:rPr>
            </w:pPr>
          </w:p>
        </w:tc>
        <w:tc>
          <w:tcPr>
            <w:tcW w:w="2355" w:type="pct"/>
          </w:tcPr>
          <w:p w:rsidRPr="00EF1EE9" w:rsidR="006862D4" w:rsidP="00DC0C29" w:rsidRDefault="00DC0C29">
            <w:pPr>
              <w:rPr>
                <w:rFonts w:ascii="Times New Roman" w:hAnsi="Times New Roman" w:cs="Times New Roman"/>
                <w:sz w:val="28"/>
                <w:szCs w:val="28"/>
                <w:lang w:val="en-US"/>
              </w:rPr>
            </w:pPr>
          </w:p>
        </w:tc>
        <w:tc>
          <w:tcPr>
            <w:tcW w:w="1690" w:type="pct"/>
          </w:tcPr>
          <w:p w:rsidRPr="00EF1EE9" w:rsidR="006862D4" w:rsidP="00DC0C29" w:rsidRDefault="00DC0C29">
            <w:pPr>
              <w:rPr>
                <w:rFonts w:ascii="Times New Roman" w:hAnsi="Times New Roman" w:cs="Times New Roman"/>
                <w:sz w:val="28"/>
                <w:szCs w:val="28"/>
                <w:lang w:val="en-US"/>
              </w:rPr>
            </w:pPr>
          </w:p>
        </w:tc>
      </w:tr>
      <w:tr w:rsidR="006862D4" w:rsidTr="0038753F">
        <w:trPr>
          <w:trHeight w:val="192"/>
        </w:trPr>
        <w:tc>
          <w:tcPr>
            <w:tcW w:w="955" w:type="pct"/>
            <w:vMerge/>
          </w:tcPr>
          <w:p w:rsidRPr="00EF1EE9" w:rsidR="006862D4" w:rsidP="0020278C" w:rsidRDefault="006862D4">
            <w:pPr>
              <w:rPr>
                <w:rFonts w:ascii="Times New Roman" w:hAnsi="Times New Roman" w:cs="Times New Roman"/>
                <w:sz w:val="28"/>
                <w:szCs w:val="28"/>
                <w:lang w:val="en-US"/>
              </w:rPr>
            </w:pPr>
          </w:p>
        </w:tc>
        <w:tc>
          <w:tcPr>
            <w:tcW w:w="2355" w:type="pct"/>
          </w:tcPr>
          <w:p w:rsidRPr="00EF1EE9" w:rsidR="006862D4" w:rsidP="00DC0C29" w:rsidRDefault="00DC0C29">
            <w:pPr>
              <w:rPr>
                <w:rFonts w:ascii="Times New Roman" w:hAnsi="Times New Roman" w:cs="Times New Roman"/>
                <w:sz w:val="28"/>
                <w:szCs w:val="28"/>
                <w:lang w:val="en-US"/>
              </w:rPr>
            </w:pPr>
          </w:p>
        </w:tc>
        <w:tc>
          <w:tcPr>
            <w:tcW w:w="1690" w:type="pct"/>
          </w:tcPr>
          <w:p w:rsidRPr="00EF1EE9" w:rsidR="006862D4" w:rsidP="00DC0C29" w:rsidRDefault="00DC0C29">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CE7EC9"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DC0C29" w:rsidTr="00A832EA">
        <w:trPr>
          <w:trHeight w:val="192"/>
        </w:trPr>
        <w:tc>
          <w:tcPr>
            <w:tcW w:w="1667" w:type="pct"/>
            <w:vMerge w:val="restar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Новых обязанностей не предусмотрено. СМСП представляет заявление на предоставление субсидии и документы, прилагаемые к нему</w:t>
            </w:r>
          </w:p>
        </w:tc>
        <w:tc>
          <w:tcPr>
            <w:tcW w:w="1666" w:type="pc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Изготовление копий необходимых документов в количестве 50 шт.– 500 рублей, из расчета 1 лист – 10 рублей.</w:t>
            </w:r>
          </w:p>
        </w:tc>
      </w:tr>
      <w:tr w:rsidR="00DC0C29" w:rsidTr="00A832EA">
        <w:trPr>
          <w:trHeight w:val="192"/>
        </w:trPr>
        <w:tc>
          <w:tcPr>
            <w:tcW w:w="1667" w:type="pct"/>
            <w:vMerge/>
          </w:tcPr>
          <w:p w:rsidRPr="00EF1EE9" w:rsidR="00DC0C29" w:rsidP="0020278C" w:rsidRDefault="00DC0C29">
            <w:pPr>
              <w:rPr>
                <w:rFonts w:ascii="Times New Roman" w:hAnsi="Times New Roman" w:cs="Times New Roman"/>
                <w:sz w:val="28"/>
                <w:szCs w:val="28"/>
                <w:lang w:val="en-US"/>
              </w:rPr>
            </w:pPr>
          </w:p>
        </w:tc>
        <w:tc>
          <w:tcPr>
            <w:tcW w:w="1667" w:type="pct"/>
          </w:tcPr>
          <w:p w:rsidRPr="00EF1EE9" w:rsidR="00DC0C29" w:rsidP="00DC0C29" w:rsidRDefault="00DC0C29">
            <w:pPr>
              <w:rPr>
                <w:rFonts w:ascii="Times New Roman" w:hAnsi="Times New Roman" w:cs="Times New Roman"/>
                <w:sz w:val="28"/>
                <w:szCs w:val="28"/>
                <w:lang w:val="en-US"/>
              </w:rPr>
            </w:pPr>
          </w:p>
        </w:tc>
        <w:tc>
          <w:tcPr>
            <w:tcW w:w="1666" w:type="pct"/>
          </w:tcPr>
          <w:p w:rsidRPr="00EF1EE9" w:rsidR="00DC0C29" w:rsidP="00DC0C29" w:rsidRDefault="00DC0C29">
            <w:pPr>
              <w:rPr>
                <w:rFonts w:ascii="Times New Roman" w:hAnsi="Times New Roman" w:cs="Times New Roman"/>
                <w:sz w:val="28"/>
                <w:szCs w:val="28"/>
                <w:lang w:val="en-US"/>
              </w:rPr>
            </w:pPr>
          </w:p>
        </w:tc>
      </w:tr>
      <w:tr w:rsidR="00DC0C29" w:rsidTr="00A832EA">
        <w:trPr>
          <w:trHeight w:val="192"/>
        </w:trPr>
        <w:tc>
          <w:tcPr>
            <w:tcW w:w="1667" w:type="pct"/>
            <w:vMerge/>
          </w:tcPr>
          <w:p w:rsidRPr="00EF1EE9" w:rsidR="00DC0C29" w:rsidP="0020278C" w:rsidRDefault="00DC0C29">
            <w:pPr>
              <w:rPr>
                <w:rFonts w:ascii="Times New Roman" w:hAnsi="Times New Roman" w:cs="Times New Roman"/>
                <w:sz w:val="28"/>
                <w:szCs w:val="28"/>
                <w:lang w:val="en-US"/>
              </w:rPr>
            </w:pPr>
          </w:p>
        </w:tc>
        <w:tc>
          <w:tcPr>
            <w:tcW w:w="1667" w:type="pct"/>
          </w:tcPr>
          <w:p w:rsidRPr="00EF1EE9" w:rsidR="00DC0C29" w:rsidP="00DC0C29" w:rsidRDefault="00DC0C29">
            <w:pPr>
              <w:rPr>
                <w:rFonts w:ascii="Times New Roman" w:hAnsi="Times New Roman" w:cs="Times New Roman"/>
                <w:sz w:val="28"/>
                <w:szCs w:val="28"/>
                <w:lang w:val="en-US"/>
              </w:rPr>
            </w:pPr>
          </w:p>
        </w:tc>
        <w:tc>
          <w:tcPr>
            <w:tcW w:w="1666" w:type="pct"/>
          </w:tcPr>
          <w:p w:rsidRPr="00EF1EE9" w:rsidR="00DC0C29" w:rsidP="00DC0C29" w:rsidRDefault="00DC0C29">
            <w:pPr>
              <w:rPr>
                <w:rFonts w:ascii="Times New Roman" w:hAnsi="Times New Roman" w:cs="Times New Roman"/>
                <w:sz w:val="28"/>
                <w:szCs w:val="28"/>
                <w:lang w:val="en-US"/>
              </w:rPr>
            </w:pPr>
          </w:p>
        </w:tc>
      </w:tr>
    </w:tbl>
    <w:p w:rsidRPr="006E4095" w:rsidR="00891221" w:rsidP="00891221" w:rsidRDefault="00CE4D90">
      <w:pPr>
        <w:spacing w:before="240" w:after="0"/>
        <w:jc w:val="center"/>
        <w:rPr>
          <w:rFonts w:ascii="Times New Roman" w:hAnsi="Times New Roman" w:cs="Times New Roman"/>
          <w:sz w:val="28"/>
          <w:szCs w:val="28"/>
        </w:rPr>
      </w:pPr>
      <w:r>
        <w:rPr>
          <w:rFonts w:ascii="Times New Roman" w:hAnsi="Times New Roman" w:cs="Times New Roman"/>
          <w:sz w:val="28"/>
          <w:szCs w:val="28"/>
        </w:rPr>
        <w:lastRenderedPageBreak/>
        <w:t>12</w:t>
      </w:r>
      <w:r w:rsidRPr="006E4095" w:rsidR="00891221">
        <w:rPr>
          <w:rFonts w:ascii="Times New Roman" w:hAnsi="Times New Roman" w:cs="Times New Roman"/>
          <w:sz w:val="28"/>
          <w:szCs w:val="28"/>
        </w:rPr>
        <w:t xml:space="preserve">.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88"/>
        <w:gridCol w:w="1722"/>
        <w:gridCol w:w="2448"/>
        <w:gridCol w:w="2448"/>
        <w:gridCol w:w="2448"/>
      </w:tblGrid>
      <w:tr w:rsidR="0085648D" w:rsidTr="00043567">
        <w:tc>
          <w:tcPr>
            <w:tcW w:w="1274" w:type="pct"/>
            <w:gridSpan w:val="2"/>
          </w:tcPr>
          <w:p w:rsidRPr="00903A82" w:rsidR="0085648D" w:rsidP="0085648D" w:rsidRDefault="00CE4D90">
            <w:pPr>
              <w:jc w:val="center"/>
              <w:rPr>
                <w:rFonts w:ascii="Times New Roman" w:hAnsi="Times New Roman" w:cs="Times New Roman"/>
                <w:sz w:val="28"/>
                <w:szCs w:val="28"/>
              </w:rPr>
            </w:pPr>
            <w:r>
              <w:rPr>
                <w:rFonts w:ascii="Times New Roman" w:hAnsi="Times New Roman" w:cs="Times New Roman"/>
                <w:sz w:val="28"/>
                <w:szCs w:val="28"/>
              </w:rPr>
              <w:t>12</w:t>
            </w:r>
            <w:r w:rsidRPr="00903A82" w:rsidR="00A15AB1">
              <w:rPr>
                <w:rFonts w:ascii="Times New Roman" w:hAnsi="Times New Roman" w:cs="Times New Roman"/>
                <w:sz w:val="28"/>
                <w:szCs w:val="28"/>
              </w:rPr>
              <w:t>.1.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CE4D90">
            <w:pPr>
              <w:jc w:val="center"/>
              <w:rPr>
                <w:rFonts w:ascii="Times New Roman" w:hAnsi="Times New Roman" w:cs="Times New Roman"/>
                <w:sz w:val="28"/>
                <w:szCs w:val="28"/>
              </w:rPr>
            </w:pPr>
            <w:r>
              <w:rPr>
                <w:rFonts w:ascii="Times New Roman" w:hAnsi="Times New Roman" w:cs="Times New Roman"/>
                <w:sz w:val="28"/>
                <w:szCs w:val="28"/>
              </w:rPr>
              <w:t>12</w:t>
            </w:r>
            <w:r w:rsidRPr="006E4095" w:rsidR="00A15AB1">
              <w:rPr>
                <w:rFonts w:ascii="Times New Roman" w:hAnsi="Times New Roman" w:cs="Times New Roman"/>
                <w:sz w:val="28"/>
                <w:szCs w:val="28"/>
              </w:rPr>
              <w:t>.2.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CE4D90">
            <w:pPr>
              <w:jc w:val="center"/>
              <w:rPr>
                <w:rFonts w:ascii="Times New Roman" w:hAnsi="Times New Roman" w:cs="Times New Roman"/>
                <w:sz w:val="28"/>
                <w:szCs w:val="28"/>
              </w:rPr>
            </w:pPr>
            <w:r>
              <w:rPr>
                <w:rFonts w:ascii="Times New Roman" w:hAnsi="Times New Roman" w:cs="Times New Roman"/>
                <w:sz w:val="28"/>
                <w:szCs w:val="28"/>
              </w:rPr>
              <w:t>12</w:t>
            </w:r>
            <w:r w:rsidRPr="00903A82" w:rsidR="00A419BD">
              <w:rPr>
                <w:rFonts w:ascii="Times New Roman" w:hAnsi="Times New Roman" w:cs="Times New Roman"/>
                <w:sz w:val="28"/>
                <w:szCs w:val="28"/>
              </w:rPr>
              <w:t>.3.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CE4D90">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C0C29" w:rsidTr="00043567">
        <w:tc>
          <w:tcPr>
            <w:tcW w:w="1274" w:type="pct"/>
            <w:gridSpan w:val="2"/>
          </w:tcPr>
          <w:p w:rsidRPr="00EF1EE9" w:rsidR="00DC0C29" w:rsidP="00B70BD0" w:rsidRDefault="00DC0C29">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C0C29" w:rsidP="00331A34"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C0C29" w:rsidTr="00043567">
        <w:tc>
          <w:tcPr>
            <w:tcW w:w="1274" w:type="pct"/>
            <w:gridSpan w:val="2"/>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C0C29" w:rsidP="00331A34"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C0C29" w:rsidP="00DC0C29"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Pr="00EF1EE9" w:rsidR="00DC0C29" w:rsidP="00DC0C29" w:rsidRDefault="00DC0C29">
            <w:pPr>
              <w:rPr>
                <w:rFonts w:ascii="Times New Roman" w:hAnsi="Times New Roman" w:cs="Times New Roman"/>
                <w:sz w:val="28"/>
                <w:szCs w:val="28"/>
                <w:lang w:val="en-US"/>
              </w:rPr>
            </w:pPr>
          </w:p>
        </w:tc>
        <w:tc>
          <w:tcPr>
            <w:tcW w:w="1242" w:type="pct"/>
          </w:tcPr>
          <w:p w:rsidRPr="00EF1EE9" w:rsidR="00DC0C29" w:rsidP="00331A34" w:rsidRDefault="00DC0C29">
            <w:pPr>
              <w:rPr>
                <w:rFonts w:ascii="Times New Roman" w:hAnsi="Times New Roman" w:cs="Times New Roman"/>
                <w:sz w:val="28"/>
                <w:szCs w:val="28"/>
                <w:lang w:val="en-US"/>
              </w:rPr>
            </w:pPr>
          </w:p>
        </w:tc>
        <w:tc>
          <w:tcPr>
            <w:tcW w:w="1242" w:type="pct"/>
          </w:tcPr>
          <w:p w:rsidRPr="00EF1EE9" w:rsidR="00DC0C29" w:rsidP="00DC0C29" w:rsidRDefault="00DC0C29">
            <w:pPr>
              <w:rPr>
                <w:rFonts w:ascii="Times New Roman" w:hAnsi="Times New Roman" w:cs="Times New Roman"/>
                <w:sz w:val="28"/>
                <w:szCs w:val="28"/>
                <w:lang w:val="en-US"/>
              </w:rPr>
            </w:pPr>
          </w:p>
        </w:tc>
        <w:tc>
          <w:tcPr>
            <w:tcW w:w="1242" w:type="pct"/>
          </w:tcPr>
          <w:p w:rsidRPr="00EF1EE9" w:rsidR="00DC0C29" w:rsidP="00DC0C29" w:rsidRDefault="00DC0C29">
            <w:pPr>
              <w:rPr>
                <w:rFonts w:ascii="Times New Roman" w:hAnsi="Times New Roman" w:cs="Times New Roman"/>
                <w:sz w:val="28"/>
                <w:szCs w:val="28"/>
                <w:lang w:val="en-US"/>
              </w:rPr>
            </w:pPr>
          </w:p>
        </w:tc>
      </w:tr>
      <w:tr w:rsidR="00FF38CB" w:rsidTr="00DC0C29">
        <w:tc>
          <w:tcPr>
            <w:tcW w:w="400" w:type="pct"/>
          </w:tcPr>
          <w:p w:rsidRPr="00F53F88" w:rsidR="00FF38CB" w:rsidP="0020278C" w:rsidRDefault="00CE4D90">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P="0020278C"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Информация отсутствует</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CE4D90">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Pr="006E4095" w:rsidR="00BB1753">
        <w:rPr>
          <w:rFonts w:ascii="Times New Roman" w:hAnsi="Times New Roman" w:cs="Times New Roman"/>
          <w:sz w:val="28"/>
          <w:szCs w:val="28"/>
        </w:rPr>
        <w:t xml:space="preserve">.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Pr="006E4095" w:rsidR="00583BE6">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C0C29" w:rsidRDefault="00DC0C29">
            <w:pPr>
              <w:rPr>
                <w:rFonts w:ascii="Times New Roman" w:hAnsi="Times New Roman" w:cs="Times New Roman"/>
                <w:sz w:val="28"/>
                <w:szCs w:val="28"/>
              </w:rPr>
            </w:pPr>
            <w:r w:rsidRPr="0089208D">
              <w:rPr>
                <w:rFonts w:ascii="Times New Roman" w:hAnsi="Times New Roman" w:cs="Times New Roman"/>
                <w:sz w:val="28"/>
                <w:szCs w:val="28"/>
              </w:rPr>
              <w:t>август-сентябрь 2019 года</w:t>
            </w:r>
          </w:p>
        </w:tc>
      </w:tr>
      <w:tr w:rsidR="00864312" w:rsidTr="00A56405">
        <w:tc>
          <w:tcPr>
            <w:tcW w:w="371" w:type="pct"/>
          </w:tcPr>
          <w:p w:rsidR="00864312" w:rsidP="00864312"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Pr="006E4095" w:rsidR="00864312">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нет</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CE4D90">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нет</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CE4D90">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CE4D90">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CE4D90">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043567" w:rsidR="006063F9">
        <w:rPr>
          <w:rFonts w:ascii="Times New Roman" w:hAnsi="Times New Roman" w:cs="Times New Roman"/>
          <w:sz w:val="28"/>
          <w:szCs w:val="28"/>
        </w:rPr>
        <w:t xml:space="preserve">.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C0C29" w:rsidRDefault="00DC0C29">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CE4D90">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Pr="00043567" w:rsidR="001A47DC">
        <w:rPr>
          <w:rFonts w:ascii="Times New Roman" w:hAnsi="Times New Roman" w:cs="Times New Roman"/>
          <w:sz w:val="28"/>
          <w:szCs w:val="28"/>
        </w:rPr>
        <w:t xml:space="preserve">. </w:t>
      </w:r>
      <w:r w:rsidRPr="00043567" w:rsid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CE4D90">
            <w:pPr>
              <w:jc w:val="center"/>
              <w:rPr>
                <w:rFonts w:ascii="Times New Roman" w:hAnsi="Times New Roman" w:cs="Times New Roman"/>
                <w:sz w:val="28"/>
                <w:szCs w:val="28"/>
              </w:rPr>
            </w:pPr>
            <w:r>
              <w:rPr>
                <w:rFonts w:ascii="Times New Roman" w:hAnsi="Times New Roman" w:cs="Times New Roman"/>
                <w:sz w:val="28"/>
                <w:szCs w:val="28"/>
              </w:rPr>
              <w:t>15</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CE4D90">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Pr="005B51C0" w:rsidR="00043567">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B70BD0">
        <w:tc>
          <w:tcPr>
            <w:tcW w:w="403" w:type="pct"/>
          </w:tcPr>
          <w:p w:rsidR="00043567" w:rsidP="00B70BD0" w:rsidRDefault="00043567">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P="00B70BD0"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B70BD0"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P="00B70BD0"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P="00B70BD0" w:rsidRDefault="00CE4D9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Pr="004C74CD" w:rsidR="00043567" w:rsidP="00B70BD0" w:rsidRDefault="00043567">
            <w:pPr>
              <w:rPr>
                <w:rFonts w:ascii="Times New Roman" w:hAnsi="Times New Roman" w:cs="Times New Roman"/>
                <w:sz w:val="28"/>
                <w:szCs w:val="28"/>
              </w:rPr>
            </w:pPr>
          </w:p>
          <w:p w:rsidRPr="004C74CD" w:rsidR="00043567" w:rsidP="00B70BD0" w:rsidRDefault="00043567">
            <w:pPr>
              <w:rPr>
                <w:rFonts w:ascii="Times New Roman" w:hAnsi="Times New Roman" w:cs="Times New Roman"/>
                <w:sz w:val="28"/>
                <w:szCs w:val="28"/>
              </w:rPr>
            </w:pPr>
          </w:p>
        </w:tc>
        <w:tc>
          <w:tcPr>
            <w:tcW w:w="4597" w:type="pct"/>
            <w:gridSpan w:val="2"/>
          </w:tcPr>
          <w:p w:rsidRPr="00677A82" w:rsidR="00043567" w:rsidP="00B70BD0"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P="00B70BD0" w:rsidRDefault="00043567">
            <w:pPr>
              <w:jc w:val="center"/>
              <w:rPr>
                <w:rFonts w:ascii="Times New Roman" w:hAnsi="Times New Roman" w:cs="Times New Roman"/>
                <w:sz w:val="28"/>
                <w:szCs w:val="28"/>
              </w:rPr>
            </w:pPr>
          </w:p>
        </w:tc>
        <w:tc>
          <w:tcPr>
            <w:tcW w:w="837" w:type="pct"/>
          </w:tcPr>
          <w:p w:rsidRPr="00677A82" w:rsidR="00043567" w:rsidP="00B70BD0"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B70BD0" w:rsidRDefault="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043567" w:rsidTr="00B70BD0">
        <w:trPr>
          <w:trHeight w:val="105"/>
        </w:trPr>
        <w:tc>
          <w:tcPr>
            <w:tcW w:w="403" w:type="pct"/>
            <w:vMerge/>
          </w:tcPr>
          <w:p w:rsidR="00043567" w:rsidP="00B70BD0" w:rsidRDefault="00043567">
            <w:pPr>
              <w:jc w:val="center"/>
              <w:rPr>
                <w:rFonts w:ascii="Times New Roman" w:hAnsi="Times New Roman" w:cs="Times New Roman"/>
                <w:sz w:val="28"/>
                <w:szCs w:val="28"/>
              </w:rPr>
            </w:pPr>
          </w:p>
        </w:tc>
        <w:tc>
          <w:tcPr>
            <w:tcW w:w="837" w:type="pct"/>
          </w:tcPr>
          <w:p w:rsidRPr="00677A82" w:rsidR="00043567" w:rsidP="00B70BD0"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DC0C29" w:rsidRDefault="00DC0C29">
            <w:pPr>
              <w:rPr>
                <w:rFonts w:ascii="Times New Roman" w:hAnsi="Times New Roman" w:cs="Times New Roman"/>
                <w:sz w:val="28"/>
                <w:szCs w:val="28"/>
                <w:lang w:val="en-US"/>
              </w:rPr>
            </w:pPr>
          </w:p>
        </w:tc>
      </w:tr>
      <w:tr w:rsidR="00043567" w:rsidTr="00B70BD0">
        <w:tc>
          <w:tcPr>
            <w:tcW w:w="403" w:type="pct"/>
          </w:tcPr>
          <w:p w:rsidR="00043567" w:rsidP="00B70BD0" w:rsidRDefault="00CE4D9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P="00B70BD0"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B70BD0" w:rsidRDefault="00DC0C29">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w:t>
            </w:r>
          </w:p>
          <w:p w:rsidRPr="001A30BF" w:rsidR="00043567" w:rsidP="00B70BD0"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P="00B70BD0" w:rsidRDefault="00CE4D9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P="00B70BD0"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B70BD0"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P="00B70BD0"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P="00B70BD0" w:rsidRDefault="00CE4D9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P="00B70BD0"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B70BD0" w:rsidRDefault="00DC0C29">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P="00B70BD0"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B70BD0">
        <w:tc>
          <w:tcPr>
            <w:tcW w:w="2642" w:type="pct"/>
            <w:vAlign w:val="bottom"/>
          </w:tcPr>
          <w:p w:rsidR="00043567" w:rsidP="00B70BD0"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B70BD0" w:rsidRDefault="00DC0C29">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B70BD0"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B70BD0" w:rsidRDefault="00043567">
            <w:pPr>
              <w:pBdr>
                <w:bottom w:val="single" w:color="auto" w:sz="4" w:space="1"/>
              </w:pBdr>
              <w:jc w:val="center"/>
              <w:rPr>
                <w:rFonts w:ascii="Times New Roman" w:hAnsi="Times New Roman" w:cs="Times New Roman"/>
                <w:sz w:val="28"/>
                <w:szCs w:val="28"/>
              </w:rPr>
            </w:pPr>
          </w:p>
          <w:p w:rsidRPr="002D38F5" w:rsidR="00043567" w:rsidP="00B70BD0" w:rsidRDefault="00DC0C29">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B70BD0"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B70BD0" w:rsidRDefault="00043567">
            <w:pPr>
              <w:pBdr>
                <w:bottom w:val="single" w:color="auto" w:sz="4" w:space="1"/>
              </w:pBdr>
              <w:jc w:val="center"/>
              <w:rPr>
                <w:rFonts w:ascii="Times New Roman" w:hAnsi="Times New Roman" w:cs="Times New Roman"/>
                <w:sz w:val="28"/>
                <w:szCs w:val="28"/>
              </w:rPr>
            </w:pPr>
          </w:p>
          <w:p w:rsidRPr="002D38F5" w:rsidR="00043567" w:rsidP="00B70BD0"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043567" w:rsidP="00043567" w:rsidRDefault="00043567">
      <w:pPr>
        <w:spacing w:after="0"/>
        <w:rPr>
          <w:rFonts w:ascii="Times New Roman" w:hAnsi="Times New Roman" w:cs="Times New Roman"/>
          <w:sz w:val="28"/>
          <w:szCs w:val="28"/>
        </w:rPr>
      </w:pPr>
    </w:p>
    <w:p w:rsidR="00043567" w:rsidP="00043567" w:rsidRDefault="00043567">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CE4D90" w:rsidP="00043567" w:rsidRDefault="00CE4D90">
      <w:pPr>
        <w:spacing w:after="0"/>
        <w:rPr>
          <w:rFonts w:ascii="Times New Roman" w:hAnsi="Times New Roman" w:cs="Times New Roman"/>
          <w:sz w:val="28"/>
          <w:szCs w:val="28"/>
        </w:rPr>
      </w:pPr>
    </w:p>
    <w:p w:rsidR="0053306C" w:rsidP="00043567" w:rsidRDefault="0053306C">
      <w:pPr>
        <w:spacing w:after="0"/>
        <w:rPr>
          <w:rFonts w:ascii="Times New Roman" w:hAnsi="Times New Roman" w:cs="Times New Roman"/>
          <w:sz w:val="28"/>
          <w:szCs w:val="28"/>
        </w:rPr>
      </w:pPr>
    </w:p>
    <w:p w:rsidR="00A763F3" w:rsidP="00043567" w:rsidRDefault="00A763F3">
      <w:pPr>
        <w:spacing w:after="0"/>
        <w:rPr>
          <w:rFonts w:ascii="Times New Roman" w:hAnsi="Times New Roman" w:cs="Times New Roman"/>
          <w:sz w:val="28"/>
          <w:szCs w:val="28"/>
        </w:rPr>
      </w:pPr>
    </w:p>
    <w:p w:rsidR="00C52622" w:rsidP="00043567" w:rsidRDefault="00C52622">
      <w:pPr>
        <w:spacing w:after="0"/>
        <w:rPr>
          <w:rFonts w:ascii="Times New Roman" w:hAnsi="Times New Roman" w:cs="Times New Roman"/>
          <w:sz w:val="28"/>
          <w:szCs w:val="28"/>
        </w:rPr>
      </w:pPr>
    </w:p>
    <w:p w:rsidR="00C52622" w:rsidP="00043567" w:rsidRDefault="00C52622">
      <w:pPr>
        <w:spacing w:after="0"/>
        <w:rPr>
          <w:rFonts w:ascii="Times New Roman" w:hAnsi="Times New Roman" w:cs="Times New Roman"/>
          <w:sz w:val="28"/>
          <w:szCs w:val="28"/>
        </w:rPr>
      </w:pPr>
    </w:p>
    <w:p w:rsidR="00C52622" w:rsidP="00043567" w:rsidRDefault="00C52622">
      <w:pPr>
        <w:spacing w:after="0"/>
        <w:rPr>
          <w:rFonts w:ascii="Times New Roman" w:hAnsi="Times New Roman" w:cs="Times New Roman"/>
          <w:sz w:val="28"/>
          <w:szCs w:val="28"/>
        </w:rPr>
      </w:pPr>
    </w:p>
    <w:p w:rsidR="00C52622" w:rsidP="00043567" w:rsidRDefault="00C52622">
      <w:pPr>
        <w:spacing w:after="0"/>
        <w:rPr>
          <w:rFonts w:ascii="Times New Roman" w:hAnsi="Times New Roman" w:cs="Times New Roman"/>
          <w:sz w:val="28"/>
          <w:szCs w:val="28"/>
        </w:rPr>
      </w:pPr>
    </w:p>
    <w:p w:rsidR="00C52622" w:rsidP="00043567" w:rsidRDefault="00C52622">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B7" w:rsidRDefault="00CF0FB7" w:rsidP="00EA7CC1">
      <w:pPr>
        <w:spacing w:after="0" w:line="240" w:lineRule="auto"/>
      </w:pPr>
      <w:r>
        <w:separator/>
      </w:r>
    </w:p>
  </w:endnote>
  <w:endnote w:type="continuationSeparator" w:id="0">
    <w:p w:rsidR="00CF0FB7" w:rsidRDefault="00CF0FB7"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B7" w:rsidRDefault="00CF0FB7" w:rsidP="00EA7CC1">
      <w:pPr>
        <w:spacing w:after="0" w:line="240" w:lineRule="auto"/>
      </w:pPr>
      <w:r>
        <w:separator/>
      </w:r>
    </w:p>
  </w:footnote>
  <w:footnote w:type="continuationSeparator" w:id="0">
    <w:p w:rsidR="00CF0FB7" w:rsidRDefault="00CF0FB7"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18E5-AD39-422D-805D-7FBD8E5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13</cp:revision>
  <cp:lastPrinted>2016-08-14T22:12:00Z</cp:lastPrinted>
  <dcterms:created xsi:type="dcterms:W3CDTF">2016-08-09T23:34:00Z</dcterms:created>
  <dcterms:modified xsi:type="dcterms:W3CDTF">2016-08-22T22:54:00Z</dcterms:modified>
</cp:coreProperties>
</file>