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 w:rsidR="00DD3162">
        <w:rPr>
          <w:rFonts w:ascii="Times New Roman" w:hAnsi="Times New Roman"/>
          <w:b/>
          <w:sz w:val="28"/>
          <w:szCs w:val="28"/>
        </w:rPr>
        <w:t>по итогам 2</w:t>
      </w:r>
      <w:r>
        <w:rPr>
          <w:rFonts w:ascii="Times New Roman" w:hAnsi="Times New Roman"/>
          <w:b/>
          <w:sz w:val="28"/>
          <w:szCs w:val="28"/>
        </w:rPr>
        <w:t xml:space="preserve"> квартала </w:t>
      </w:r>
      <w:r w:rsidRPr="00AC601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AC601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05551" w:rsidRDefault="00AF2F74" w:rsidP="00D04E3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3162">
        <w:rPr>
          <w:rFonts w:ascii="Times New Roman" w:hAnsi="Times New Roman"/>
          <w:sz w:val="28"/>
          <w:szCs w:val="28"/>
        </w:rPr>
        <w:t>о 2</w:t>
      </w:r>
      <w:r w:rsidR="00FE2B2B">
        <w:rPr>
          <w:rFonts w:ascii="Times New Roman" w:hAnsi="Times New Roman"/>
          <w:sz w:val="28"/>
          <w:szCs w:val="28"/>
        </w:rPr>
        <w:t xml:space="preserve"> квартале </w:t>
      </w:r>
      <w:r w:rsidR="002D4AC2" w:rsidRPr="004D55AD">
        <w:rPr>
          <w:rFonts w:ascii="Times New Roman" w:hAnsi="Times New Roman"/>
          <w:sz w:val="28"/>
          <w:szCs w:val="28"/>
        </w:rPr>
        <w:t>20</w:t>
      </w:r>
      <w:r w:rsidR="00417C8E">
        <w:rPr>
          <w:rFonts w:ascii="Times New Roman" w:hAnsi="Times New Roman"/>
          <w:sz w:val="28"/>
          <w:szCs w:val="28"/>
        </w:rPr>
        <w:t>1</w:t>
      </w:r>
      <w:r w:rsidR="00FE2B2B">
        <w:rPr>
          <w:rFonts w:ascii="Times New Roman" w:hAnsi="Times New Roman"/>
          <w:sz w:val="28"/>
          <w:szCs w:val="28"/>
        </w:rPr>
        <w:t>9</w:t>
      </w:r>
      <w:r w:rsidR="002D4AC2" w:rsidRPr="004D55AD">
        <w:rPr>
          <w:rFonts w:ascii="Times New Roman" w:hAnsi="Times New Roman"/>
          <w:sz w:val="28"/>
          <w:szCs w:val="28"/>
        </w:rPr>
        <w:t xml:space="preserve"> г</w:t>
      </w:r>
      <w:r w:rsidR="00DD3162">
        <w:rPr>
          <w:rFonts w:ascii="Times New Roman" w:hAnsi="Times New Roman"/>
          <w:sz w:val="28"/>
          <w:szCs w:val="28"/>
        </w:rPr>
        <w:t>.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DD3162">
        <w:rPr>
          <w:rFonts w:ascii="Times New Roman" w:hAnsi="Times New Roman"/>
          <w:sz w:val="28"/>
          <w:szCs w:val="28"/>
        </w:rPr>
        <w:t>814</w:t>
      </w:r>
      <w:r w:rsidR="00D414F3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DD3162">
        <w:rPr>
          <w:rFonts w:ascii="Times New Roman" w:hAnsi="Times New Roman"/>
          <w:sz w:val="28"/>
          <w:szCs w:val="28"/>
        </w:rPr>
        <w:t>й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DC3870">
        <w:rPr>
          <w:rFonts w:ascii="Times New Roman" w:hAnsi="Times New Roman"/>
          <w:sz w:val="28"/>
          <w:szCs w:val="28"/>
        </w:rPr>
        <w:t xml:space="preserve"> (</w:t>
      </w:r>
      <w:r w:rsidR="007332AC">
        <w:rPr>
          <w:rFonts w:ascii="Times New Roman" w:hAnsi="Times New Roman"/>
          <w:sz w:val="28"/>
          <w:szCs w:val="28"/>
        </w:rPr>
        <w:t>617</w:t>
      </w:r>
      <w:r w:rsidR="00DC3870">
        <w:rPr>
          <w:rFonts w:ascii="Times New Roman" w:hAnsi="Times New Roman"/>
          <w:sz w:val="28"/>
          <w:szCs w:val="28"/>
        </w:rPr>
        <w:t xml:space="preserve">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увеличилось на </w:t>
      </w:r>
      <w:r w:rsidR="00FE2B2B">
        <w:rPr>
          <w:rFonts w:ascii="Times New Roman" w:hAnsi="Times New Roman"/>
          <w:sz w:val="28"/>
          <w:szCs w:val="28"/>
        </w:rPr>
        <w:t>3</w:t>
      </w:r>
      <w:r w:rsidR="00253F7A">
        <w:rPr>
          <w:rFonts w:ascii="Times New Roman" w:hAnsi="Times New Roman"/>
          <w:sz w:val="28"/>
          <w:szCs w:val="28"/>
        </w:rPr>
        <w:t>1,9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C13D97" w:rsidRDefault="002D4AC2" w:rsidP="00C13D97">
      <w:pPr>
        <w:suppressAutoHyphens/>
        <w:spacing w:after="0" w:line="384" w:lineRule="auto"/>
        <w:ind w:firstLine="709"/>
        <w:jc w:val="both"/>
      </w:pPr>
      <w:r w:rsidRPr="003D564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80F37">
        <w:rPr>
          <w:rFonts w:ascii="Times New Roman" w:hAnsi="Times New Roman"/>
          <w:sz w:val="28"/>
          <w:szCs w:val="28"/>
        </w:rPr>
        <w:t>отчётном периоде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E80F37">
        <w:rPr>
          <w:rFonts w:ascii="Times New Roman" w:hAnsi="Times New Roman"/>
          <w:sz w:val="28"/>
          <w:szCs w:val="28"/>
        </w:rPr>
        <w:t>в</w:t>
      </w:r>
      <w:r w:rsidR="00827176" w:rsidRPr="003D5640">
        <w:rPr>
          <w:rFonts w:ascii="Times New Roman" w:hAnsi="Times New Roman"/>
          <w:sz w:val="28"/>
          <w:szCs w:val="28"/>
        </w:rPr>
        <w:t xml:space="preserve"> Министерств</w:t>
      </w:r>
      <w:r w:rsidR="00E80F37">
        <w:rPr>
          <w:rFonts w:ascii="Times New Roman" w:hAnsi="Times New Roman"/>
          <w:sz w:val="28"/>
          <w:szCs w:val="28"/>
        </w:rPr>
        <w:t>о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="00E80F37">
        <w:rPr>
          <w:rFonts w:ascii="Times New Roman" w:hAnsi="Times New Roman"/>
          <w:sz w:val="28"/>
          <w:szCs w:val="28"/>
        </w:rPr>
        <w:t>поступило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253F7A">
        <w:rPr>
          <w:rFonts w:ascii="Times New Roman" w:hAnsi="Times New Roman"/>
          <w:sz w:val="28"/>
          <w:szCs w:val="28"/>
        </w:rPr>
        <w:t>1</w:t>
      </w:r>
      <w:r w:rsidR="009F0D08">
        <w:rPr>
          <w:rFonts w:ascii="Times New Roman" w:hAnsi="Times New Roman"/>
          <w:sz w:val="28"/>
          <w:szCs w:val="28"/>
        </w:rPr>
        <w:t>3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обращений</w:t>
      </w:r>
      <w:r w:rsidR="00C13D97">
        <w:rPr>
          <w:rFonts w:ascii="Times New Roman" w:hAnsi="Times New Roman"/>
          <w:sz w:val="28"/>
          <w:szCs w:val="28"/>
        </w:rPr>
        <w:t xml:space="preserve">, </w:t>
      </w:r>
      <w:r w:rsidR="003D5640" w:rsidRPr="003D5640">
        <w:rPr>
          <w:rFonts w:ascii="Times New Roman" w:hAnsi="Times New Roman"/>
          <w:sz w:val="28"/>
          <w:szCs w:val="28"/>
        </w:rPr>
        <w:t xml:space="preserve">из </w:t>
      </w:r>
      <w:r w:rsidR="001A181D">
        <w:rPr>
          <w:rFonts w:ascii="Times New Roman" w:hAnsi="Times New Roman"/>
          <w:sz w:val="28"/>
          <w:szCs w:val="28"/>
        </w:rPr>
        <w:t>Главного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контрольн</w:t>
      </w:r>
      <w:r w:rsidR="001A181D">
        <w:rPr>
          <w:rFonts w:ascii="Times New Roman" w:hAnsi="Times New Roman"/>
          <w:sz w:val="28"/>
          <w:szCs w:val="28"/>
        </w:rPr>
        <w:t>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управлени</w:t>
      </w:r>
      <w:r w:rsidR="001A181D">
        <w:rPr>
          <w:rFonts w:ascii="Times New Roman" w:hAnsi="Times New Roman"/>
          <w:sz w:val="28"/>
          <w:szCs w:val="28"/>
        </w:rPr>
        <w:t>я</w:t>
      </w:r>
      <w:r w:rsidR="001A181D" w:rsidRPr="001A181D">
        <w:rPr>
          <w:rFonts w:ascii="Times New Roman" w:hAnsi="Times New Roman"/>
          <w:sz w:val="28"/>
          <w:szCs w:val="28"/>
        </w:rPr>
        <w:t xml:space="preserve"> Губернатора и Правительства Камчатского</w:t>
      </w:r>
      <w:r w:rsidR="001A181D">
        <w:rPr>
          <w:rFonts w:ascii="Times New Roman" w:hAnsi="Times New Roman"/>
          <w:sz w:val="28"/>
          <w:szCs w:val="28"/>
        </w:rPr>
        <w:t xml:space="preserve"> края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253F7A">
        <w:rPr>
          <w:rFonts w:ascii="Times New Roman" w:hAnsi="Times New Roman"/>
          <w:sz w:val="28"/>
          <w:szCs w:val="28"/>
        </w:rPr>
        <w:t>5</w:t>
      </w:r>
      <w:r w:rsidR="00E80F37">
        <w:rPr>
          <w:rFonts w:ascii="Times New Roman" w:hAnsi="Times New Roman"/>
          <w:sz w:val="28"/>
          <w:szCs w:val="28"/>
        </w:rPr>
        <w:t>8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1A181D">
        <w:rPr>
          <w:rFonts w:ascii="Times New Roman" w:hAnsi="Times New Roman"/>
          <w:sz w:val="28"/>
          <w:szCs w:val="28"/>
        </w:rPr>
        <w:t>й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15F02" w:rsidRPr="003D5640" w:rsidRDefault="009F0D08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C13D97" w:rsidRPr="003D5640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</w:t>
      </w:r>
      <w:r w:rsidR="00C13D97" w:rsidRPr="003D5640">
        <w:rPr>
          <w:rFonts w:ascii="Times New Roman" w:hAnsi="Times New Roman"/>
          <w:sz w:val="28"/>
          <w:szCs w:val="28"/>
        </w:rPr>
        <w:t xml:space="preserve"> обратились на личный</w:t>
      </w:r>
      <w:r w:rsidR="00C13D97">
        <w:rPr>
          <w:rFonts w:ascii="Times New Roman" w:hAnsi="Times New Roman"/>
          <w:sz w:val="28"/>
          <w:szCs w:val="28"/>
        </w:rPr>
        <w:t xml:space="preserve"> приё</w:t>
      </w:r>
      <w:r w:rsidR="00C13D97" w:rsidRPr="003D5640">
        <w:rPr>
          <w:rFonts w:ascii="Times New Roman" w:hAnsi="Times New Roman"/>
          <w:sz w:val="28"/>
          <w:szCs w:val="28"/>
        </w:rPr>
        <w:t xml:space="preserve">м к </w:t>
      </w:r>
      <w:r w:rsidR="00C13D97">
        <w:rPr>
          <w:rFonts w:ascii="Times New Roman" w:hAnsi="Times New Roman"/>
          <w:sz w:val="28"/>
          <w:szCs w:val="28"/>
        </w:rPr>
        <w:t xml:space="preserve">Министру </w:t>
      </w:r>
      <w:r>
        <w:rPr>
          <w:rFonts w:ascii="Times New Roman" w:hAnsi="Times New Roman"/>
          <w:sz w:val="28"/>
          <w:szCs w:val="28"/>
        </w:rPr>
        <w:t xml:space="preserve">и заместителю Министра </w:t>
      </w:r>
      <w:r w:rsidR="00C13D97">
        <w:rPr>
          <w:rFonts w:ascii="Times New Roman" w:hAnsi="Times New Roman"/>
          <w:sz w:val="28"/>
          <w:szCs w:val="28"/>
        </w:rPr>
        <w:t xml:space="preserve">здравоохранения Камчатского края. В ходе личного приёма даны устные разъяснения и приняты решения по разрешению поставленных вопросов, по итогам приёма, в частных случаях, направлены письменные ответы на обращения. </w:t>
      </w:r>
    </w:p>
    <w:p w:rsidR="00916FA6" w:rsidRDefault="00165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обращений, поступивших в Министерство здравоохранения Камчатского края</w:t>
      </w:r>
      <w:r w:rsidR="009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различна. </w:t>
      </w:r>
    </w:p>
    <w:p w:rsidR="009F6FEB" w:rsidRDefault="00916FA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9F0D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квартала 2019 года </w:t>
      </w:r>
      <w:r w:rsidR="00197E13" w:rsidRPr="00197E13">
        <w:rPr>
          <w:rFonts w:ascii="Times New Roman" w:hAnsi="Times New Roman"/>
          <w:sz w:val="28"/>
          <w:szCs w:val="28"/>
        </w:rPr>
        <w:t>б</w:t>
      </w:r>
      <w:r w:rsidR="00FF155C" w:rsidRPr="00197E13">
        <w:rPr>
          <w:rFonts w:ascii="Times New Roman" w:hAnsi="Times New Roman"/>
          <w:sz w:val="28"/>
          <w:szCs w:val="28"/>
        </w:rPr>
        <w:t>ольш</w:t>
      </w:r>
      <w:r w:rsidR="00F21F42" w:rsidRPr="00197E13">
        <w:rPr>
          <w:rFonts w:ascii="Times New Roman" w:hAnsi="Times New Roman"/>
          <w:sz w:val="28"/>
          <w:szCs w:val="28"/>
        </w:rPr>
        <w:t>ую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долю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427841" w:rsidRPr="00197E13">
        <w:rPr>
          <w:rFonts w:ascii="Times New Roman" w:hAnsi="Times New Roman"/>
          <w:sz w:val="28"/>
          <w:szCs w:val="28"/>
        </w:rPr>
        <w:t>с</w:t>
      </w:r>
      <w:r w:rsidR="00FF155C" w:rsidRPr="00197E13">
        <w:rPr>
          <w:rFonts w:ascii="Times New Roman" w:hAnsi="Times New Roman"/>
          <w:sz w:val="28"/>
          <w:szCs w:val="28"/>
        </w:rPr>
        <w:t>оставляют обращения</w:t>
      </w:r>
      <w:r w:rsidR="00F21F42" w:rsidRPr="00197E13">
        <w:rPr>
          <w:rFonts w:ascii="Times New Roman" w:hAnsi="Times New Roman"/>
          <w:sz w:val="28"/>
          <w:szCs w:val="28"/>
        </w:rPr>
        <w:t>,</w:t>
      </w:r>
      <w:r w:rsidR="00FF155C" w:rsidRPr="00197E13">
        <w:rPr>
          <w:rFonts w:ascii="Times New Roman" w:hAnsi="Times New Roman"/>
          <w:sz w:val="28"/>
          <w:szCs w:val="28"/>
        </w:rPr>
        <w:t xml:space="preserve"> связанные с </w:t>
      </w:r>
      <w:r w:rsidR="00BE7051">
        <w:rPr>
          <w:rFonts w:ascii="Times New Roman" w:hAnsi="Times New Roman"/>
          <w:sz w:val="28"/>
          <w:szCs w:val="28"/>
        </w:rPr>
        <w:t>проездом льготных категорий граждан (к месту лечения и обратно и к месту санаторно-курортного лечения)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C13D97">
        <w:rPr>
          <w:rFonts w:ascii="Times New Roman" w:hAnsi="Times New Roman"/>
          <w:sz w:val="28"/>
          <w:szCs w:val="28"/>
        </w:rPr>
        <w:t>–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BE7051">
        <w:rPr>
          <w:rFonts w:ascii="Times New Roman" w:hAnsi="Times New Roman"/>
          <w:sz w:val="28"/>
          <w:szCs w:val="28"/>
        </w:rPr>
        <w:t>24,1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%</w:t>
      </w:r>
      <w:r w:rsidR="00165D97" w:rsidRPr="00197E13">
        <w:rPr>
          <w:rFonts w:ascii="Times New Roman" w:hAnsi="Times New Roman"/>
          <w:sz w:val="28"/>
          <w:szCs w:val="28"/>
        </w:rPr>
        <w:t xml:space="preserve"> от общего </w:t>
      </w:r>
      <w:r w:rsidR="00197E13">
        <w:rPr>
          <w:rFonts w:ascii="Times New Roman" w:hAnsi="Times New Roman"/>
          <w:sz w:val="28"/>
          <w:szCs w:val="28"/>
        </w:rPr>
        <w:t>количества</w:t>
      </w:r>
      <w:r w:rsidR="00197E13" w:rsidRPr="00197E13"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поступивших за отчётный период</w:t>
      </w:r>
      <w:r w:rsidR="00165D97" w:rsidRPr="00197E13">
        <w:rPr>
          <w:rFonts w:ascii="Times New Roman" w:hAnsi="Times New Roman"/>
          <w:sz w:val="28"/>
          <w:szCs w:val="28"/>
        </w:rPr>
        <w:t>.</w:t>
      </w:r>
      <w:r w:rsidR="004D5F76" w:rsidRPr="00197E13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9F6FEB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</w:t>
      </w:r>
      <w:r w:rsidR="0089272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892721" w:rsidRPr="00892721">
        <w:rPr>
          <w:rFonts w:ascii="Times New Roman" w:hAnsi="Times New Roman"/>
          <w:sz w:val="28"/>
          <w:szCs w:val="28"/>
        </w:rPr>
        <w:t>лечени</w:t>
      </w:r>
      <w:r w:rsidR="00892721">
        <w:rPr>
          <w:rFonts w:ascii="Times New Roman" w:hAnsi="Times New Roman"/>
          <w:sz w:val="28"/>
          <w:szCs w:val="28"/>
        </w:rPr>
        <w:t>ю</w:t>
      </w:r>
      <w:r w:rsidR="00892721" w:rsidRPr="00892721">
        <w:rPr>
          <w:rFonts w:ascii="Times New Roman" w:hAnsi="Times New Roman"/>
          <w:sz w:val="28"/>
          <w:szCs w:val="28"/>
        </w:rPr>
        <w:t xml:space="preserve"> и оказани</w:t>
      </w:r>
      <w:r w:rsidR="00892721">
        <w:rPr>
          <w:rFonts w:ascii="Times New Roman" w:hAnsi="Times New Roman"/>
          <w:sz w:val="28"/>
          <w:szCs w:val="28"/>
        </w:rPr>
        <w:t>ю</w:t>
      </w:r>
      <w:r w:rsidR="00892721" w:rsidRPr="00892721">
        <w:rPr>
          <w:rFonts w:ascii="Times New Roman" w:hAnsi="Times New Roman"/>
          <w:sz w:val="28"/>
          <w:szCs w:val="28"/>
        </w:rPr>
        <w:t xml:space="preserve"> медицинской помощи в государственных учреждениях здравоохранения Камчатского края </w:t>
      </w:r>
      <w:r>
        <w:rPr>
          <w:rFonts w:ascii="Times New Roman" w:hAnsi="Times New Roman"/>
          <w:sz w:val="28"/>
          <w:szCs w:val="28"/>
        </w:rPr>
        <w:t>составили 2</w:t>
      </w:r>
      <w:r w:rsidR="008927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8927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E41F5B" w:rsidRPr="00197E13" w:rsidRDefault="0082717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13">
        <w:rPr>
          <w:rFonts w:ascii="Times New Roman" w:hAnsi="Times New Roman"/>
          <w:sz w:val="28"/>
          <w:szCs w:val="28"/>
        </w:rPr>
        <w:t>Количество обращений</w:t>
      </w:r>
      <w:r w:rsidR="00093168" w:rsidRPr="00197E13">
        <w:rPr>
          <w:rFonts w:ascii="Times New Roman" w:hAnsi="Times New Roman"/>
          <w:sz w:val="28"/>
          <w:szCs w:val="28"/>
        </w:rPr>
        <w:t xml:space="preserve"> граждан по вопросу направления на высокотехнологическую медицинскую помощь за пределы Камчатского края составляет </w:t>
      </w:r>
      <w:r w:rsidR="00892721">
        <w:rPr>
          <w:rFonts w:ascii="Times New Roman" w:hAnsi="Times New Roman"/>
          <w:sz w:val="28"/>
          <w:szCs w:val="28"/>
        </w:rPr>
        <w:t>4,3</w:t>
      </w:r>
      <w:r w:rsidR="00165D97" w:rsidRPr="00197E13">
        <w:rPr>
          <w:rFonts w:ascii="Times New Roman" w:hAnsi="Times New Roman"/>
          <w:sz w:val="28"/>
          <w:szCs w:val="28"/>
        </w:rPr>
        <w:t xml:space="preserve"> </w:t>
      </w:r>
      <w:r w:rsidR="00093168" w:rsidRPr="00197E13">
        <w:rPr>
          <w:rFonts w:ascii="Times New Roman" w:hAnsi="Times New Roman"/>
          <w:sz w:val="28"/>
          <w:szCs w:val="28"/>
        </w:rPr>
        <w:t>% от общего количест</w:t>
      </w:r>
      <w:r w:rsidR="00165D97" w:rsidRPr="00197E13">
        <w:rPr>
          <w:rFonts w:ascii="Times New Roman" w:hAnsi="Times New Roman"/>
          <w:sz w:val="28"/>
          <w:szCs w:val="28"/>
        </w:rPr>
        <w:t>ва, поступивших за отчё</w:t>
      </w:r>
      <w:r w:rsidR="00093168" w:rsidRPr="00197E13">
        <w:rPr>
          <w:rFonts w:ascii="Times New Roman" w:hAnsi="Times New Roman"/>
          <w:sz w:val="28"/>
          <w:szCs w:val="28"/>
        </w:rPr>
        <w:t xml:space="preserve">тный период. Основная их часть связана с ожиданием представления квот федеральными учреждениями здравоохранения. </w:t>
      </w:r>
    </w:p>
    <w:p w:rsidR="007A2F0A" w:rsidRDefault="007A2F0A" w:rsidP="007A2F0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 были рассмотрены, на них направлены письменные ответы в установленные действующим законодательством Российской Федерации сроки по существу поставленных в них вопросов, проведены комплексные проверки. </w:t>
      </w: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BE70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Камчатского края в</w:t>
      </w:r>
      <w:r w:rsidR="009F0D08">
        <w:rPr>
          <w:rFonts w:ascii="Times New Roman" w:hAnsi="Times New Roman"/>
          <w:b/>
          <w:sz w:val="28"/>
          <w:szCs w:val="28"/>
        </w:rPr>
        <w:t>о</w:t>
      </w:r>
      <w:r w:rsidRPr="00DF1E8D">
        <w:rPr>
          <w:rFonts w:ascii="Times New Roman" w:hAnsi="Times New Roman"/>
          <w:b/>
          <w:sz w:val="28"/>
          <w:szCs w:val="28"/>
        </w:rPr>
        <w:t xml:space="preserve"> </w:t>
      </w:r>
      <w:r w:rsidR="009F0D08">
        <w:rPr>
          <w:rFonts w:ascii="Times New Roman" w:hAnsi="Times New Roman"/>
          <w:b/>
          <w:sz w:val="28"/>
          <w:szCs w:val="28"/>
        </w:rPr>
        <w:t>2</w:t>
      </w:r>
      <w:r w:rsidRPr="00DF1E8D">
        <w:rPr>
          <w:rFonts w:ascii="Times New Roman" w:hAnsi="Times New Roman"/>
          <w:b/>
          <w:sz w:val="28"/>
          <w:szCs w:val="28"/>
        </w:rPr>
        <w:t xml:space="preserve"> квартале 2019 г</w:t>
      </w:r>
      <w:r w:rsidR="009F0D08">
        <w:rPr>
          <w:rFonts w:ascii="Times New Roman" w:hAnsi="Times New Roman"/>
          <w:b/>
          <w:sz w:val="28"/>
          <w:szCs w:val="28"/>
        </w:rPr>
        <w:t>.</w:t>
      </w:r>
    </w:p>
    <w:p w:rsidR="00862104" w:rsidRDefault="00C13D97" w:rsidP="00BE70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(более 1 %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197E13" w:rsidRDefault="003D74B0" w:rsidP="007A2F0A">
      <w:pPr>
        <w:suppressAutoHyphens/>
        <w:spacing w:after="0" w:line="360" w:lineRule="auto"/>
        <w:ind w:firstLine="709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BA79" wp14:editId="722D81F4">
            <wp:extent cx="8858250" cy="5429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024102"/>
    <w:rsid w:val="00037E55"/>
    <w:rsid w:val="00045D84"/>
    <w:rsid w:val="00093168"/>
    <w:rsid w:val="00141435"/>
    <w:rsid w:val="00145BAB"/>
    <w:rsid w:val="001466FE"/>
    <w:rsid w:val="00150458"/>
    <w:rsid w:val="00165D97"/>
    <w:rsid w:val="00182DD3"/>
    <w:rsid w:val="00197E13"/>
    <w:rsid w:val="001A181D"/>
    <w:rsid w:val="001C38B0"/>
    <w:rsid w:val="001D12F9"/>
    <w:rsid w:val="001D167A"/>
    <w:rsid w:val="00224661"/>
    <w:rsid w:val="00236B51"/>
    <w:rsid w:val="00236D41"/>
    <w:rsid w:val="002470DC"/>
    <w:rsid w:val="00247E62"/>
    <w:rsid w:val="00253F7A"/>
    <w:rsid w:val="00276A2B"/>
    <w:rsid w:val="00294CD9"/>
    <w:rsid w:val="002977AF"/>
    <w:rsid w:val="002B3723"/>
    <w:rsid w:val="002D4AC2"/>
    <w:rsid w:val="002F6DC7"/>
    <w:rsid w:val="003020B7"/>
    <w:rsid w:val="00302DAA"/>
    <w:rsid w:val="003075B9"/>
    <w:rsid w:val="0032025A"/>
    <w:rsid w:val="003427A0"/>
    <w:rsid w:val="00343EBB"/>
    <w:rsid w:val="003629E2"/>
    <w:rsid w:val="003A66FD"/>
    <w:rsid w:val="003C3BDC"/>
    <w:rsid w:val="003D5640"/>
    <w:rsid w:val="003D74B0"/>
    <w:rsid w:val="003E1E98"/>
    <w:rsid w:val="003F06A3"/>
    <w:rsid w:val="00407B21"/>
    <w:rsid w:val="00417C8E"/>
    <w:rsid w:val="00427841"/>
    <w:rsid w:val="00432479"/>
    <w:rsid w:val="004631CA"/>
    <w:rsid w:val="004D5F76"/>
    <w:rsid w:val="004F24E2"/>
    <w:rsid w:val="005001D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3595"/>
    <w:rsid w:val="0063203D"/>
    <w:rsid w:val="0064345E"/>
    <w:rsid w:val="00676BF6"/>
    <w:rsid w:val="006D3EDF"/>
    <w:rsid w:val="006F7130"/>
    <w:rsid w:val="007024A0"/>
    <w:rsid w:val="00714004"/>
    <w:rsid w:val="00715460"/>
    <w:rsid w:val="00725E99"/>
    <w:rsid w:val="007332AC"/>
    <w:rsid w:val="007A2F0A"/>
    <w:rsid w:val="007B0226"/>
    <w:rsid w:val="007D1E46"/>
    <w:rsid w:val="0080739A"/>
    <w:rsid w:val="00822AF1"/>
    <w:rsid w:val="00827176"/>
    <w:rsid w:val="008604CC"/>
    <w:rsid w:val="00861DA3"/>
    <w:rsid w:val="00862104"/>
    <w:rsid w:val="00892721"/>
    <w:rsid w:val="008E091A"/>
    <w:rsid w:val="00903789"/>
    <w:rsid w:val="00903960"/>
    <w:rsid w:val="00916FA6"/>
    <w:rsid w:val="009270D0"/>
    <w:rsid w:val="0094396D"/>
    <w:rsid w:val="0095235E"/>
    <w:rsid w:val="0095763E"/>
    <w:rsid w:val="00971A83"/>
    <w:rsid w:val="009844B2"/>
    <w:rsid w:val="009F0D08"/>
    <w:rsid w:val="009F6FEB"/>
    <w:rsid w:val="00A00244"/>
    <w:rsid w:val="00A34ACD"/>
    <w:rsid w:val="00A556DB"/>
    <w:rsid w:val="00AB72ED"/>
    <w:rsid w:val="00AC601E"/>
    <w:rsid w:val="00AE5968"/>
    <w:rsid w:val="00AF2F74"/>
    <w:rsid w:val="00B05551"/>
    <w:rsid w:val="00B31DC8"/>
    <w:rsid w:val="00B5694C"/>
    <w:rsid w:val="00B66530"/>
    <w:rsid w:val="00B75CC6"/>
    <w:rsid w:val="00B97022"/>
    <w:rsid w:val="00BB134B"/>
    <w:rsid w:val="00BE7051"/>
    <w:rsid w:val="00C03BAE"/>
    <w:rsid w:val="00C13D97"/>
    <w:rsid w:val="00C75C8E"/>
    <w:rsid w:val="00CB2495"/>
    <w:rsid w:val="00CC4CFF"/>
    <w:rsid w:val="00D031CB"/>
    <w:rsid w:val="00D04E37"/>
    <w:rsid w:val="00D414F3"/>
    <w:rsid w:val="00D744CA"/>
    <w:rsid w:val="00DA0191"/>
    <w:rsid w:val="00DC3870"/>
    <w:rsid w:val="00DC79D6"/>
    <w:rsid w:val="00DD0875"/>
    <w:rsid w:val="00DD27AB"/>
    <w:rsid w:val="00DD3162"/>
    <w:rsid w:val="00DE1889"/>
    <w:rsid w:val="00DF1E8D"/>
    <w:rsid w:val="00DF43DA"/>
    <w:rsid w:val="00E15F02"/>
    <w:rsid w:val="00E41F5B"/>
    <w:rsid w:val="00E772EA"/>
    <w:rsid w:val="00E80F37"/>
    <w:rsid w:val="00EE334C"/>
    <w:rsid w:val="00EF38B4"/>
    <w:rsid w:val="00F02C01"/>
    <w:rsid w:val="00F21F42"/>
    <w:rsid w:val="00F23FE9"/>
    <w:rsid w:val="00F73DE5"/>
    <w:rsid w:val="00FD200B"/>
    <w:rsid w:val="00FE2B2B"/>
    <w:rsid w:val="00FE6684"/>
    <w:rsid w:val="00FF155C"/>
    <w:rsid w:val="00FF237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F1E-9A89-4C1E-85AA-3E75F3E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2018 года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</c:v>
                </c:pt>
                <c:pt idx="1">
                  <c:v>98</c:v>
                </c:pt>
                <c:pt idx="2">
                  <c:v>121</c:v>
                </c:pt>
                <c:pt idx="3">
                  <c:v>468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 года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</c:v>
                </c:pt>
                <c:pt idx="1">
                  <c:v>168</c:v>
                </c:pt>
                <c:pt idx="2">
                  <c:v>199</c:v>
                </c:pt>
                <c:pt idx="3">
                  <c:v>417</c:v>
                </c:pt>
                <c:pt idx="4">
                  <c:v>27</c:v>
                </c:pt>
                <c:pt idx="5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4672256"/>
        <c:axId val="314673936"/>
        <c:axId val="0"/>
      </c:bar3DChart>
      <c:catAx>
        <c:axId val="314672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14673936"/>
        <c:crosses val="autoZero"/>
        <c:auto val="1"/>
        <c:lblAlgn val="ctr"/>
        <c:lblOffset val="100"/>
        <c:noMultiLvlLbl val="0"/>
      </c:catAx>
      <c:valAx>
        <c:axId val="314673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4672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Проезд льготных категорий граждан</c:v>
                </c:pt>
                <c:pt idx="1">
                  <c:v>Помещение в больницы и специализированные лечебные учреждения. Оплата за лечение, пребывание в лечебных учреждениях</c:v>
                </c:pt>
                <c:pt idx="2">
                  <c:v>Работа медицинских учреждений и их сотрудников</c:v>
                </c:pt>
                <c:pt idx="3">
                  <c:v>Лечение и оказание медицинской помощи</c:v>
                </c:pt>
                <c:pt idx="4">
                  <c:v>Лекарственное обеспечение</c:v>
                </c:pt>
                <c:pt idx="5">
                  <c:v>Отношение к больным и их родственникам</c:v>
                </c:pt>
                <c:pt idx="6">
                  <c:v>Благодарности, пожелания сотрудникам подведомственных учреждений</c:v>
                </c:pt>
                <c:pt idx="7">
                  <c:v>Качество оказания медицинской помощи детям в амбулаторно-поликлинических условиях</c:v>
                </c:pt>
                <c:pt idx="8">
                  <c:v>Организация оказания медицинской помощи взрослым в амбулаторно-поликлинических условиях</c:v>
                </c:pt>
                <c:pt idx="9">
                  <c:v>Квоты на оказание высокотехнологической медицинской помощи</c:v>
                </c:pt>
                <c:pt idx="10">
                  <c:v>Лекарственное обеспечение</c:v>
                </c:pt>
                <c:pt idx="11">
                  <c:v>Качество оказания медицинской помощи взрослым в стационарных условиях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24.1</c:v>
                </c:pt>
                <c:pt idx="1">
                  <c:v>4.9000000000000004</c:v>
                </c:pt>
                <c:pt idx="2">
                  <c:v>14.1</c:v>
                </c:pt>
                <c:pt idx="3">
                  <c:v>23.4</c:v>
                </c:pt>
                <c:pt idx="4">
                  <c:v>3.4</c:v>
                </c:pt>
                <c:pt idx="5">
                  <c:v>1.6</c:v>
                </c:pt>
                <c:pt idx="6">
                  <c:v>1.5</c:v>
                </c:pt>
                <c:pt idx="7">
                  <c:v>1.2</c:v>
                </c:pt>
                <c:pt idx="8">
                  <c:v>1.3</c:v>
                </c:pt>
                <c:pt idx="9">
                  <c:v>4.3</c:v>
                </c:pt>
                <c:pt idx="10">
                  <c:v>2.1</c:v>
                </c:pt>
                <c:pt idx="11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4674496"/>
        <c:axId val="314670576"/>
      </c:barChart>
      <c:catAx>
        <c:axId val="3146744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4670576"/>
        <c:crosses val="autoZero"/>
        <c:auto val="1"/>
        <c:lblAlgn val="ctr"/>
        <c:lblOffset val="100"/>
        <c:noMultiLvlLbl val="0"/>
      </c:catAx>
      <c:valAx>
        <c:axId val="31467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67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76344086021509"/>
          <c:y val="8.9320866141732371E-3"/>
          <c:w val="0.33763440860215055"/>
          <c:h val="0.991067913385826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Зимина Жанна Валерьевна</cp:lastModifiedBy>
  <cp:revision>24</cp:revision>
  <cp:lastPrinted>2019-07-02T06:20:00Z</cp:lastPrinted>
  <dcterms:created xsi:type="dcterms:W3CDTF">2018-12-21T05:02:00Z</dcterms:created>
  <dcterms:modified xsi:type="dcterms:W3CDTF">2019-07-02T06:20:00Z</dcterms:modified>
</cp:coreProperties>
</file>