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34B5" w14:textId="77777777"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939CE6A" wp14:editId="69B0B3EA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398"/>
      </w:tblGrid>
      <w:tr w:rsidR="00C10BFA" w:rsidRPr="00C10BFA" w14:paraId="6D63D117" w14:textId="77777777" w:rsidTr="00A67D0F">
        <w:trPr>
          <w:trHeight w:val="80"/>
        </w:trPr>
        <w:tc>
          <w:tcPr>
            <w:tcW w:w="4962" w:type="dxa"/>
          </w:tcPr>
          <w:p w14:paraId="68590D78" w14:textId="77777777"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14:paraId="3B66AF67" w14:textId="77777777"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295954EB" w14:textId="77777777"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31B950F" w14:textId="77777777"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324A8C" w14:textId="77777777"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0862BE7F" w14:textId="77777777"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F32B540" w14:textId="77777777" w:rsidR="00C10BFA" w:rsidRP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C10BFA" w:rsidRPr="00C10BFA" w14:paraId="291FBB11" w14:textId="77777777" w:rsidTr="00A67D0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7602B0B" w14:textId="77777777"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14:paraId="6F603A2E" w14:textId="77777777" w:rsidR="00C10BFA" w:rsidRPr="00C10BFA" w:rsidRDefault="00A70101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9A4FA35" w14:textId="77777777"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41583FA9" w14:textId="77777777"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14:paraId="718F10FB" w14:textId="77777777" w:rsidR="00236850" w:rsidRPr="0028329C" w:rsidRDefault="002368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B5E2E" w14:textId="77777777" w:rsidR="00606B84" w:rsidRPr="0028329C" w:rsidRDefault="00C10BFA" w:rsidP="0076629B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A1743C">
        <w:rPr>
          <w:rFonts w:ascii="Times New Roman" w:hAnsi="Times New Roman" w:cs="Times New Roman"/>
          <w:sz w:val="28"/>
          <w:szCs w:val="28"/>
        </w:rPr>
        <w:t>б</w:t>
      </w:r>
      <w:r w:rsidR="0012771F">
        <w:rPr>
          <w:rFonts w:ascii="Times New Roman" w:hAnsi="Times New Roman" w:cs="Times New Roman"/>
          <w:sz w:val="28"/>
          <w:szCs w:val="28"/>
        </w:rPr>
        <w:t xml:space="preserve"> </w:t>
      </w:r>
      <w:r w:rsidR="00AB3E58" w:rsidRPr="00AB3E5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47EB6" w:rsidRPr="00B47EB6">
        <w:rPr>
          <w:rFonts w:ascii="Times New Roman" w:hAnsi="Times New Roman" w:cs="Times New Roman"/>
          <w:sz w:val="28"/>
          <w:szCs w:val="28"/>
        </w:rPr>
        <w:t>регламент</w:t>
      </w:r>
      <w:r w:rsidR="00B47EB6">
        <w:rPr>
          <w:rFonts w:ascii="Times New Roman" w:hAnsi="Times New Roman" w:cs="Times New Roman"/>
          <w:sz w:val="28"/>
          <w:szCs w:val="28"/>
        </w:rPr>
        <w:t>а</w:t>
      </w:r>
      <w:r w:rsidR="00B47EB6" w:rsidRPr="00B47EB6">
        <w:rPr>
          <w:rFonts w:ascii="Times New Roman" w:hAnsi="Times New Roman" w:cs="Times New Roman"/>
          <w:sz w:val="28"/>
          <w:szCs w:val="28"/>
        </w:rPr>
        <w:t xml:space="preserve"> сопровождения инвес</w:t>
      </w:r>
      <w:r w:rsidR="00B47EB6"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="00B47EB6" w:rsidRPr="00B47EB6">
        <w:rPr>
          <w:rFonts w:ascii="Times New Roman" w:hAnsi="Times New Roman" w:cs="Times New Roman"/>
          <w:sz w:val="28"/>
          <w:szCs w:val="28"/>
        </w:rPr>
        <w:t>одного окна</w:t>
      </w:r>
      <w:r w:rsidR="00B47EB6">
        <w:rPr>
          <w:rFonts w:ascii="Times New Roman" w:hAnsi="Times New Roman" w:cs="Times New Roman"/>
          <w:sz w:val="28"/>
          <w:szCs w:val="28"/>
        </w:rPr>
        <w:t>» в Камчатском крае</w:t>
      </w:r>
    </w:p>
    <w:p w14:paraId="35A8BAE4" w14:textId="77777777" w:rsidR="00606B84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68ECD" w14:textId="77777777" w:rsidR="00A1743C" w:rsidRDefault="00A1743C" w:rsidP="00E77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A7067">
        <w:rPr>
          <w:rFonts w:ascii="Times New Roman" w:hAnsi="Times New Roman" w:cs="Times New Roman"/>
          <w:sz w:val="28"/>
          <w:szCs w:val="28"/>
        </w:rPr>
        <w:t xml:space="preserve"> законом Камчатского края </w:t>
      </w:r>
      <w:r w:rsidR="00E7705D" w:rsidRPr="00E7705D">
        <w:rPr>
          <w:rFonts w:ascii="Times New Roman" w:hAnsi="Times New Roman" w:cs="Times New Roman"/>
          <w:sz w:val="28"/>
          <w:szCs w:val="28"/>
        </w:rPr>
        <w:t xml:space="preserve">от 22.09.2008 </w:t>
      </w:r>
      <w:r w:rsidR="00E7705D">
        <w:rPr>
          <w:rFonts w:ascii="Times New Roman" w:hAnsi="Times New Roman" w:cs="Times New Roman"/>
          <w:sz w:val="28"/>
          <w:szCs w:val="28"/>
        </w:rPr>
        <w:t>№</w:t>
      </w:r>
      <w:r w:rsidR="00E7705D" w:rsidRPr="00E7705D">
        <w:rPr>
          <w:rFonts w:ascii="Times New Roman" w:hAnsi="Times New Roman" w:cs="Times New Roman"/>
          <w:sz w:val="28"/>
          <w:szCs w:val="28"/>
        </w:rPr>
        <w:t xml:space="preserve"> 129 </w:t>
      </w:r>
      <w:r w:rsidR="00E7705D">
        <w:rPr>
          <w:rFonts w:ascii="Times New Roman" w:hAnsi="Times New Roman" w:cs="Times New Roman"/>
          <w:sz w:val="28"/>
          <w:szCs w:val="28"/>
        </w:rPr>
        <w:t>«</w:t>
      </w:r>
      <w:r w:rsidR="00E7705D" w:rsidRPr="00E7705D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 в Камчатском крае</w:t>
      </w:r>
      <w:r w:rsidR="00E7705D">
        <w:rPr>
          <w:rFonts w:ascii="Times New Roman" w:hAnsi="Times New Roman" w:cs="Times New Roman"/>
          <w:sz w:val="28"/>
          <w:szCs w:val="28"/>
        </w:rPr>
        <w:t>»</w:t>
      </w:r>
    </w:p>
    <w:p w14:paraId="6D711D5F" w14:textId="77777777" w:rsidR="00A1743C" w:rsidRPr="0028329C" w:rsidRDefault="00A1743C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80A99E" w14:textId="77777777"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14:paraId="0DF7DFA7" w14:textId="77777777"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BC78E" w14:textId="77777777" w:rsidR="00B47EB6" w:rsidRDefault="00B47EB6" w:rsidP="00193F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FE0" w:rsidRPr="00AB3E58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197FE0" w:rsidRPr="00AB3E58">
        <w:rPr>
          <w:rFonts w:ascii="Times New Roman" w:hAnsi="Times New Roman" w:cs="Times New Roman"/>
          <w:sz w:val="28"/>
          <w:szCs w:val="28"/>
        </w:rPr>
        <w:t xml:space="preserve"> </w:t>
      </w:r>
      <w:r w:rsidRPr="00B47EB6">
        <w:rPr>
          <w:rFonts w:ascii="Times New Roman" w:hAnsi="Times New Roman" w:cs="Times New Roman"/>
          <w:sz w:val="28"/>
          <w:szCs w:val="28"/>
        </w:rPr>
        <w:t>регламент сопровождения инвес</w:t>
      </w:r>
      <w:r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Pr="00B47EB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 в Камчатском крае</w:t>
      </w:r>
      <w:r w:rsidR="00A1743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39422" w14:textId="77777777" w:rsidR="00B47EB6" w:rsidRDefault="00B47EB6" w:rsidP="00193F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B6">
        <w:rPr>
          <w:rFonts w:ascii="Times New Roman" w:hAnsi="Times New Roman" w:cs="Times New Roman"/>
          <w:sz w:val="28"/>
          <w:szCs w:val="28"/>
        </w:rPr>
        <w:t xml:space="preserve">Определить, что функции по сопровождению инвестиционных проектов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B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B6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специализированная организация по привлечению инвестиций и работе с инвесторами </w:t>
      </w:r>
      <w:r w:rsidR="00E9364E">
        <w:rPr>
          <w:rFonts w:ascii="Times New Roman" w:hAnsi="Times New Roman" w:cs="Times New Roman"/>
          <w:sz w:val="28"/>
          <w:szCs w:val="28"/>
        </w:rPr>
        <w:t>–</w:t>
      </w:r>
      <w:r w:rsidRPr="00B47EB6">
        <w:rPr>
          <w:rFonts w:ascii="Times New Roman" w:hAnsi="Times New Roman" w:cs="Times New Roman"/>
          <w:sz w:val="28"/>
          <w:szCs w:val="28"/>
        </w:rPr>
        <w:t xml:space="preserve"> АО </w:t>
      </w:r>
      <w:r>
        <w:rPr>
          <w:rFonts w:ascii="Times New Roman" w:hAnsi="Times New Roman" w:cs="Times New Roman"/>
          <w:sz w:val="28"/>
          <w:szCs w:val="28"/>
        </w:rPr>
        <w:t xml:space="preserve">«Корпорация развития Камчатского края» </w:t>
      </w:r>
      <w:r w:rsidRPr="00B47EB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Pr="00B47EB6">
        <w:rPr>
          <w:rFonts w:ascii="Times New Roman" w:hAnsi="Times New Roman" w:cs="Times New Roman"/>
          <w:sz w:val="28"/>
          <w:szCs w:val="28"/>
        </w:rPr>
        <w:t>).</w:t>
      </w:r>
    </w:p>
    <w:p w14:paraId="34C6DECD" w14:textId="77777777" w:rsidR="00B47EB6" w:rsidRDefault="00B47EB6" w:rsidP="00193F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специализированной организации у</w:t>
      </w:r>
      <w:r w:rsidRPr="00B47EB6">
        <w:rPr>
          <w:rFonts w:ascii="Times New Roman" w:hAnsi="Times New Roman" w:cs="Times New Roman"/>
          <w:sz w:val="28"/>
          <w:szCs w:val="28"/>
        </w:rPr>
        <w:t>твердить порядок взаимодейс</w:t>
      </w:r>
      <w:r>
        <w:rPr>
          <w:rFonts w:ascii="Times New Roman" w:hAnsi="Times New Roman" w:cs="Times New Roman"/>
          <w:sz w:val="28"/>
          <w:szCs w:val="28"/>
        </w:rPr>
        <w:t>твия с инвесторами по принципу «</w:t>
      </w:r>
      <w:r w:rsidRPr="00B47EB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B6">
        <w:rPr>
          <w:rFonts w:ascii="Times New Roman" w:hAnsi="Times New Roman" w:cs="Times New Roman"/>
          <w:sz w:val="28"/>
          <w:szCs w:val="28"/>
        </w:rPr>
        <w:t xml:space="preserve"> с учетом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</w:t>
      </w:r>
      <w:r w:rsidR="00E9364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E9364E" w:rsidRPr="00C2193A">
        <w:rPr>
          <w:rFonts w:ascii="Times New Roman" w:hAnsi="Times New Roman" w:cs="Times New Roman"/>
          <w:sz w:val="28"/>
          <w:szCs w:val="28"/>
        </w:rPr>
        <w:t xml:space="preserve">Наблюдательным советом автономной некоммерческой организации </w:t>
      </w:r>
      <w:r w:rsidR="00E9364E">
        <w:rPr>
          <w:rFonts w:ascii="Times New Roman" w:hAnsi="Times New Roman" w:cs="Times New Roman"/>
          <w:sz w:val="28"/>
          <w:szCs w:val="28"/>
        </w:rPr>
        <w:t>«</w:t>
      </w:r>
      <w:r w:rsidR="00E9364E" w:rsidRPr="00C2193A">
        <w:rPr>
          <w:rFonts w:ascii="Times New Roman" w:hAnsi="Times New Roman" w:cs="Times New Roman"/>
          <w:sz w:val="28"/>
          <w:szCs w:val="28"/>
        </w:rPr>
        <w:t>Агентство стратегических инициатив</w:t>
      </w:r>
      <w:r w:rsidR="00E9364E">
        <w:rPr>
          <w:rFonts w:ascii="Times New Roman" w:hAnsi="Times New Roman" w:cs="Times New Roman"/>
          <w:sz w:val="28"/>
          <w:szCs w:val="28"/>
        </w:rPr>
        <w:t>»</w:t>
      </w:r>
      <w:r w:rsidR="00E9364E" w:rsidRPr="00C2193A">
        <w:rPr>
          <w:rFonts w:ascii="Times New Roman" w:hAnsi="Times New Roman" w:cs="Times New Roman"/>
          <w:sz w:val="28"/>
          <w:szCs w:val="28"/>
        </w:rPr>
        <w:t xml:space="preserve"> от 3 мая 2012</w:t>
      </w:r>
      <w:r w:rsidR="00692F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364E">
        <w:rPr>
          <w:rFonts w:ascii="Times New Roman" w:hAnsi="Times New Roman" w:cs="Times New Roman"/>
          <w:sz w:val="28"/>
          <w:szCs w:val="28"/>
        </w:rPr>
        <w:t>.</w:t>
      </w:r>
    </w:p>
    <w:p w14:paraId="7D5C43E3" w14:textId="77777777" w:rsidR="00D06171" w:rsidRDefault="00D06171" w:rsidP="00D0617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93FD0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9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FD0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93FD0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193FD0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обеспечить взаимодействие со</w:t>
      </w:r>
      <w:r w:rsidRPr="0019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Pr="0019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193FD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3FD0">
        <w:rPr>
          <w:rFonts w:ascii="Times New Roman" w:hAnsi="Times New Roman" w:cs="Times New Roman"/>
          <w:sz w:val="28"/>
          <w:szCs w:val="28"/>
        </w:rPr>
        <w:t xml:space="preserve"> инвестиционных проектов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3FD0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3FD0">
        <w:rPr>
          <w:rFonts w:ascii="Times New Roman" w:hAnsi="Times New Roman" w:cs="Times New Roman"/>
          <w:sz w:val="28"/>
          <w:szCs w:val="28"/>
        </w:rPr>
        <w:t>.</w:t>
      </w:r>
    </w:p>
    <w:p w14:paraId="5701D6F5" w14:textId="77777777" w:rsidR="00A1743C" w:rsidRDefault="00A1743C" w:rsidP="00A1743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C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Камчат</w:t>
      </w:r>
      <w:r w:rsidRPr="00A1743C">
        <w:rPr>
          <w:rFonts w:ascii="Times New Roman" w:hAnsi="Times New Roman" w:cs="Times New Roman"/>
          <w:sz w:val="28"/>
          <w:szCs w:val="28"/>
        </w:rPr>
        <w:t xml:space="preserve">ского края оказывать содействие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A1743C">
        <w:rPr>
          <w:rFonts w:ascii="Times New Roman" w:hAnsi="Times New Roman" w:cs="Times New Roman"/>
          <w:sz w:val="28"/>
          <w:szCs w:val="28"/>
        </w:rPr>
        <w:t xml:space="preserve"> при сопровождении инвес</w:t>
      </w:r>
      <w:r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Pr="00A1743C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43C">
        <w:rPr>
          <w:rFonts w:ascii="Times New Roman" w:hAnsi="Times New Roman" w:cs="Times New Roman"/>
          <w:sz w:val="28"/>
          <w:szCs w:val="28"/>
        </w:rPr>
        <w:t>.</w:t>
      </w:r>
    </w:p>
    <w:p w14:paraId="7CA04A58" w14:textId="77777777" w:rsidR="00637ADF" w:rsidRPr="00A1743C" w:rsidRDefault="00637ADF" w:rsidP="00637A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</w:t>
      </w:r>
      <w:r w:rsidRPr="00637AD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17.09.2013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7ADF">
        <w:rPr>
          <w:rFonts w:ascii="Times New Roman" w:hAnsi="Times New Roman" w:cs="Times New Roman"/>
          <w:sz w:val="28"/>
          <w:szCs w:val="28"/>
        </w:rPr>
        <w:t xml:space="preserve"> 406-П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ADF">
        <w:rPr>
          <w:rFonts w:ascii="Times New Roman" w:hAnsi="Times New Roman" w:cs="Times New Roman"/>
          <w:sz w:val="28"/>
          <w:szCs w:val="28"/>
        </w:rPr>
        <w:t>Об утверждении положения о сопровождении инвестиционных проектов, реализуемых и (или) планируемых к реализации в Камчатском крае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510DE7" w14:textId="77777777" w:rsidR="00606B84" w:rsidRPr="0028329C" w:rsidRDefault="00606B84" w:rsidP="00637A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743C">
        <w:rPr>
          <w:rFonts w:ascii="Times New Roman" w:hAnsi="Times New Roman" w:cs="Times New Roman"/>
          <w:sz w:val="28"/>
          <w:szCs w:val="28"/>
        </w:rPr>
        <w:t>п</w:t>
      </w:r>
      <w:r w:rsidRPr="0028329C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14:paraId="3C8F1B2E" w14:textId="77777777" w:rsidR="00606B84" w:rsidRDefault="00606B8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127965" w14:textId="77777777" w:rsidR="00236850" w:rsidRDefault="00236850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C7EEAF" w14:textId="77777777" w:rsidR="00E53C04" w:rsidRPr="0028329C" w:rsidRDefault="00E53C0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76629B" w14:paraId="088B4BA1" w14:textId="77777777" w:rsidTr="0076629B">
        <w:tc>
          <w:tcPr>
            <w:tcW w:w="4785" w:type="dxa"/>
          </w:tcPr>
          <w:p w14:paraId="751C84FD" w14:textId="77777777" w:rsidR="0076629B" w:rsidRDefault="0076629B" w:rsidP="00DF0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72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86" w:type="dxa"/>
          </w:tcPr>
          <w:p w14:paraId="6226E0CF" w14:textId="77777777" w:rsidR="0076629B" w:rsidRDefault="0076629B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</w:p>
        </w:tc>
      </w:tr>
    </w:tbl>
    <w:p w14:paraId="62E11E93" w14:textId="77777777"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5EEB5B" w14:textId="77777777" w:rsidR="00C10BFA" w:rsidRPr="003C3293" w:rsidRDefault="00C10BFA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C329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14:paraId="6177E8DC" w14:textId="77777777" w:rsidR="003C3293" w:rsidRPr="003C3293" w:rsidRDefault="003C3293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791"/>
        <w:gridCol w:w="2268"/>
        <w:gridCol w:w="2835"/>
      </w:tblGrid>
      <w:tr w:rsidR="00C10BFA" w:rsidRPr="003C3293" w14:paraId="34FCA652" w14:textId="77777777" w:rsidTr="0076629B">
        <w:tc>
          <w:tcPr>
            <w:tcW w:w="4791" w:type="dxa"/>
            <w:vAlign w:val="bottom"/>
            <w:hideMark/>
          </w:tcPr>
          <w:p w14:paraId="502D21DA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6E78918B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68" w:type="dxa"/>
            <w:vAlign w:val="bottom"/>
          </w:tcPr>
          <w:p w14:paraId="22746A2C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6719EA61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1879E" w14:textId="77777777"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C10BFA" w:rsidRPr="003C3293" w14:paraId="0FDFB465" w14:textId="77777777" w:rsidTr="0076629B">
        <w:tc>
          <w:tcPr>
            <w:tcW w:w="4791" w:type="dxa"/>
            <w:vAlign w:val="bottom"/>
          </w:tcPr>
          <w:p w14:paraId="5B855D2C" w14:textId="77777777" w:rsidR="003C3293" w:rsidRPr="003C3293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26544278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0986B523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92" w:rsidRPr="003C3293" w14:paraId="17BBC69C" w14:textId="77777777" w:rsidTr="009251D0">
        <w:tc>
          <w:tcPr>
            <w:tcW w:w="4791" w:type="dxa"/>
          </w:tcPr>
          <w:p w14:paraId="14182E68" w14:textId="77777777" w:rsidR="00E27692" w:rsidRDefault="00E27692" w:rsidP="009251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2268" w:type="dxa"/>
          </w:tcPr>
          <w:p w14:paraId="7EB90998" w14:textId="77777777" w:rsidR="00E27692" w:rsidRPr="003C3293" w:rsidRDefault="00E27692" w:rsidP="009251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B206CE" w14:textId="77777777" w:rsidR="00E27692" w:rsidRPr="003C3293" w:rsidRDefault="00E27692" w:rsidP="009251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</w:tc>
      </w:tr>
      <w:tr w:rsidR="00E27692" w:rsidRPr="003C3293" w14:paraId="69C32B01" w14:textId="77777777" w:rsidTr="0076629B">
        <w:tc>
          <w:tcPr>
            <w:tcW w:w="4791" w:type="dxa"/>
          </w:tcPr>
          <w:p w14:paraId="19BF03E0" w14:textId="77777777" w:rsidR="00E27692" w:rsidRDefault="00E27692" w:rsidP="005A0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045A80" w14:textId="77777777" w:rsidR="00E27692" w:rsidRPr="003C3293" w:rsidRDefault="00E27692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10CE32" w14:textId="77777777" w:rsidR="00E27692" w:rsidRPr="003C3293" w:rsidRDefault="00E27692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92" w:rsidRPr="003C3293" w14:paraId="0FD6A05F" w14:textId="77777777" w:rsidTr="004E6D52">
        <w:tc>
          <w:tcPr>
            <w:tcW w:w="4791" w:type="dxa"/>
          </w:tcPr>
          <w:p w14:paraId="7F55B334" w14:textId="77777777" w:rsidR="00E27692" w:rsidRPr="003C3293" w:rsidRDefault="00E27692" w:rsidP="004E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инвестиций и предпринимательства Камчатского края</w:t>
            </w:r>
          </w:p>
        </w:tc>
        <w:tc>
          <w:tcPr>
            <w:tcW w:w="2268" w:type="dxa"/>
          </w:tcPr>
          <w:p w14:paraId="15C8DD09" w14:textId="77777777" w:rsidR="00E27692" w:rsidRPr="003C3293" w:rsidRDefault="00E27692" w:rsidP="004E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D46195" w14:textId="77777777" w:rsidR="00E27692" w:rsidRPr="003C3293" w:rsidRDefault="00E27692" w:rsidP="004E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07DA0" w14:textId="77777777" w:rsidR="00E27692" w:rsidRPr="003C3293" w:rsidRDefault="00E27692" w:rsidP="004E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03D90" w14:textId="77777777" w:rsidR="00E27692" w:rsidRPr="003C3293" w:rsidRDefault="00E27692" w:rsidP="004E6D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Названов</w:t>
            </w:r>
          </w:p>
        </w:tc>
      </w:tr>
      <w:tr w:rsidR="00C10BFA" w:rsidRPr="003C3293" w14:paraId="34FDE0ED" w14:textId="77777777" w:rsidTr="0076629B">
        <w:tc>
          <w:tcPr>
            <w:tcW w:w="4791" w:type="dxa"/>
          </w:tcPr>
          <w:p w14:paraId="37D314EF" w14:textId="77777777" w:rsidR="003C3293" w:rsidRPr="005A0F4F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D6E60C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44304D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FA" w:rsidRPr="003C3293" w14:paraId="02F512AB" w14:textId="77777777" w:rsidTr="0076629B">
        <w:tc>
          <w:tcPr>
            <w:tcW w:w="4791" w:type="dxa"/>
          </w:tcPr>
          <w:p w14:paraId="0AAAAD9B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2268" w:type="dxa"/>
          </w:tcPr>
          <w:p w14:paraId="50D2CE0D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37B226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A2515" w14:textId="77777777"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D8932" w14:textId="77777777"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14:paraId="0ED9D2E3" w14:textId="77777777"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7BFAC0" w14:textId="77777777" w:rsidR="00A1743C" w:rsidRPr="00B27ACD" w:rsidRDefault="00A1743C" w:rsidP="009A7067">
      <w:pPr>
        <w:pStyle w:val="ConsPlusTitlePage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27AC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Приложение к постановлению</w:t>
      </w:r>
    </w:p>
    <w:p w14:paraId="104F6FA5" w14:textId="77777777" w:rsidR="00A1743C" w:rsidRDefault="00A1743C" w:rsidP="00A1743C">
      <w:pPr>
        <w:pStyle w:val="ConsPlusTitlePage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27AC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Правительства Камчатского края</w:t>
      </w:r>
    </w:p>
    <w:p w14:paraId="527AC2E4" w14:textId="77777777" w:rsidR="00A1743C" w:rsidRPr="00B27ACD" w:rsidRDefault="00A1743C" w:rsidP="00A1743C">
      <w:pPr>
        <w:pStyle w:val="ConsPlusTitlePage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27AC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A706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27AC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706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-П</w:t>
      </w:r>
    </w:p>
    <w:p w14:paraId="4A937646" w14:textId="77777777" w:rsidR="00A1743C" w:rsidRDefault="00A1743C" w:rsidP="00A1743C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D4648" w14:textId="77777777" w:rsidR="009A7067" w:rsidRDefault="009A7067" w:rsidP="009A70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47EB6">
        <w:rPr>
          <w:rFonts w:ascii="Times New Roman" w:hAnsi="Times New Roman" w:cs="Times New Roman"/>
          <w:sz w:val="28"/>
          <w:szCs w:val="28"/>
        </w:rPr>
        <w:t>егламент</w:t>
      </w:r>
    </w:p>
    <w:p w14:paraId="61EDEC61" w14:textId="77777777" w:rsidR="009A7067" w:rsidRDefault="009A7067" w:rsidP="009A70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B6">
        <w:rPr>
          <w:rFonts w:ascii="Times New Roman" w:hAnsi="Times New Roman" w:cs="Times New Roman"/>
          <w:sz w:val="28"/>
          <w:szCs w:val="28"/>
        </w:rPr>
        <w:t>сопровождения инвес</w:t>
      </w:r>
      <w:r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Pr="00B47EB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92363A" w14:textId="77777777" w:rsidR="00A1743C" w:rsidRPr="00A7545F" w:rsidRDefault="009A7067" w:rsidP="009A70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Камчатском крае</w:t>
      </w:r>
    </w:p>
    <w:p w14:paraId="27374BFA" w14:textId="77777777" w:rsidR="00A1743C" w:rsidRDefault="00A1743C" w:rsidP="00A1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A87DF" w14:textId="77777777" w:rsidR="00817398" w:rsidRDefault="00817398" w:rsidP="00997443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4EB2585" w14:textId="77777777" w:rsidR="00817398" w:rsidRDefault="00817398" w:rsidP="00817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0B18F0" w14:textId="77777777" w:rsidR="00E9364E" w:rsidRDefault="00A1743C" w:rsidP="0081739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A7067" w:rsidRPr="009A7067">
        <w:rPr>
          <w:rFonts w:ascii="Times New Roman" w:hAnsi="Times New Roman" w:cs="Times New Roman"/>
          <w:sz w:val="28"/>
          <w:szCs w:val="28"/>
        </w:rPr>
        <w:t>Регламент сопровождения инвестиционных проектов по принципу «одного окна»</w:t>
      </w:r>
      <w:r w:rsid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9A7067" w:rsidRPr="009A7067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9A7067" w:rsidRPr="009A7067">
        <w:rPr>
          <w:rFonts w:ascii="Times New Roman" w:hAnsi="Times New Roman" w:cs="Times New Roman"/>
          <w:sz w:val="28"/>
          <w:szCs w:val="28"/>
        </w:rPr>
        <w:t>определяет порядок взаимодействия исполнительных органов государственной власти Камчатского края со специализированной организацией по привлечению инвестиций и работе с инвесторами</w:t>
      </w:r>
      <w:r w:rsidR="00E7705D">
        <w:rPr>
          <w:rFonts w:ascii="Times New Roman" w:hAnsi="Times New Roman" w:cs="Times New Roman"/>
          <w:sz w:val="28"/>
          <w:szCs w:val="28"/>
        </w:rPr>
        <w:t xml:space="preserve"> – акционерным обществом «Корпорация развития Камчатского края» (далее – специализированная организация)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9364E" w:rsidRPr="009A7067">
        <w:rPr>
          <w:rFonts w:ascii="Times New Roman" w:hAnsi="Times New Roman" w:cs="Times New Roman"/>
          <w:sz w:val="28"/>
          <w:szCs w:val="28"/>
        </w:rPr>
        <w:t xml:space="preserve">активизации процесса привлечения инвестиций в экономику </w:t>
      </w:r>
      <w:r w:rsidR="00E9364E">
        <w:rPr>
          <w:rFonts w:ascii="Times New Roman" w:hAnsi="Times New Roman" w:cs="Times New Roman"/>
          <w:sz w:val="28"/>
          <w:szCs w:val="28"/>
        </w:rPr>
        <w:t>Камчатского</w:t>
      </w:r>
      <w:r w:rsidR="00E9364E" w:rsidRPr="009A7067">
        <w:rPr>
          <w:rFonts w:ascii="Times New Roman" w:hAnsi="Times New Roman" w:cs="Times New Roman"/>
          <w:sz w:val="28"/>
          <w:szCs w:val="28"/>
        </w:rPr>
        <w:t xml:space="preserve"> края, создания благоприятного инвестиционного климата, снижения административных барьеров в процессе реализации инвестиционных проектов на территории </w:t>
      </w:r>
      <w:r w:rsidR="00E9364E">
        <w:rPr>
          <w:rFonts w:ascii="Times New Roman" w:hAnsi="Times New Roman" w:cs="Times New Roman"/>
          <w:sz w:val="28"/>
          <w:szCs w:val="28"/>
        </w:rPr>
        <w:t>Камчатского</w:t>
      </w:r>
      <w:r w:rsidR="00E9364E" w:rsidRPr="009A7067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60C87CD0" w14:textId="77777777" w:rsidR="00792EB4" w:rsidRPr="00792EB4" w:rsidRDefault="00792EB4" w:rsidP="0081739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B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792EB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0669184C" w14:textId="77777777" w:rsidR="00792EB4" w:rsidRPr="00792EB4" w:rsidRDefault="00792EB4" w:rsidP="00817398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B4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3504AD">
        <w:rPr>
          <w:rFonts w:ascii="Times New Roman" w:hAnsi="Times New Roman" w:cs="Times New Roman"/>
          <w:sz w:val="28"/>
          <w:szCs w:val="28"/>
        </w:rPr>
        <w:t>–</w:t>
      </w:r>
      <w:r w:rsidRPr="00792EB4">
        <w:rPr>
          <w:rFonts w:ascii="Times New Roman" w:hAnsi="Times New Roman" w:cs="Times New Roman"/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14:paraId="08D5E232" w14:textId="77777777" w:rsidR="00792EB4" w:rsidRPr="00792EB4" w:rsidRDefault="00792EB4" w:rsidP="00817398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B4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</w:t>
      </w:r>
      <w:r w:rsidR="003504AD">
        <w:rPr>
          <w:rFonts w:ascii="Times New Roman" w:hAnsi="Times New Roman" w:cs="Times New Roman"/>
          <w:sz w:val="28"/>
          <w:szCs w:val="28"/>
        </w:rPr>
        <w:t>–</w:t>
      </w:r>
      <w:r w:rsidRPr="00792EB4">
        <w:rPr>
          <w:rFonts w:ascii="Times New Roman" w:hAnsi="Times New Roman" w:cs="Times New Roman"/>
          <w:sz w:val="28"/>
          <w:szCs w:val="28"/>
        </w:rPr>
        <w:t xml:space="preserve"> юридическое лицо или индивидуальный предприниматель, заинтересованные в реализации инвестиционного проекта;</w:t>
      </w:r>
    </w:p>
    <w:p w14:paraId="10534FB0" w14:textId="77777777" w:rsidR="00792EB4" w:rsidRPr="00792EB4" w:rsidRDefault="00792EB4" w:rsidP="00817398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B4">
        <w:rPr>
          <w:rFonts w:ascii="Times New Roman" w:hAnsi="Times New Roman" w:cs="Times New Roman"/>
          <w:sz w:val="28"/>
          <w:szCs w:val="28"/>
        </w:rPr>
        <w:t xml:space="preserve">отраслевой орган </w:t>
      </w:r>
      <w:r w:rsidR="00EE2DA0">
        <w:rPr>
          <w:rFonts w:ascii="Times New Roman" w:hAnsi="Times New Roman" w:cs="Times New Roman"/>
          <w:sz w:val="28"/>
          <w:szCs w:val="28"/>
        </w:rPr>
        <w:t>–</w:t>
      </w:r>
      <w:r w:rsidRPr="00792EB4">
        <w:rPr>
          <w:rFonts w:ascii="Times New Roman" w:hAnsi="Times New Roman" w:cs="Times New Roman"/>
          <w:sz w:val="28"/>
          <w:szCs w:val="28"/>
        </w:rPr>
        <w:t xml:space="preserve"> исполнительный орган государственной власти Камчатского края, принимающий участие в сопровождении инвестиционного проекта, который определяется в соответствии с отраслевой принадлежностью вида деятельности, указанного в заявке на сопровождение инвестиционного проекта согласно </w:t>
      </w:r>
      <w:hyperlink r:id="rId9" w:history="1">
        <w:r w:rsidRPr="00792EB4">
          <w:rPr>
            <w:rFonts w:ascii="Times New Roman" w:hAnsi="Times New Roman" w:cs="Times New Roman"/>
            <w:sz w:val="28"/>
            <w:szCs w:val="28"/>
          </w:rPr>
          <w:t>Общероссийскому классификатору</w:t>
        </w:r>
      </w:hyperlink>
      <w:r w:rsidRPr="00792EB4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утвержденному Приказом Федерального агентства по техническому регулированию и метрологии от 31.01.2014 </w:t>
      </w:r>
      <w:r w:rsidR="003504AD">
        <w:rPr>
          <w:rFonts w:ascii="Times New Roman" w:hAnsi="Times New Roman" w:cs="Times New Roman"/>
          <w:sz w:val="28"/>
          <w:szCs w:val="28"/>
        </w:rPr>
        <w:t>№</w:t>
      </w:r>
      <w:r w:rsidRPr="00792EB4">
        <w:rPr>
          <w:rFonts w:ascii="Times New Roman" w:hAnsi="Times New Roman" w:cs="Times New Roman"/>
          <w:sz w:val="28"/>
          <w:szCs w:val="28"/>
        </w:rPr>
        <w:t xml:space="preserve"> 14-ст </w:t>
      </w:r>
      <w:r w:rsidR="003504AD">
        <w:rPr>
          <w:rFonts w:ascii="Times New Roman" w:hAnsi="Times New Roman" w:cs="Times New Roman"/>
          <w:sz w:val="28"/>
          <w:szCs w:val="28"/>
        </w:rPr>
        <w:t>«</w:t>
      </w:r>
      <w:r w:rsidRPr="00792EB4">
        <w:rPr>
          <w:rFonts w:ascii="Times New Roman" w:hAnsi="Times New Roman" w:cs="Times New Roman"/>
          <w:sz w:val="28"/>
          <w:szCs w:val="28"/>
        </w:rPr>
        <w:t xml:space="preserve"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</w:t>
      </w:r>
      <w:r w:rsidR="003504AD">
        <w:rPr>
          <w:rFonts w:ascii="Times New Roman" w:hAnsi="Times New Roman" w:cs="Times New Roman"/>
          <w:sz w:val="28"/>
          <w:szCs w:val="28"/>
        </w:rPr>
        <w:t>(ОКПД2) ОК 034-2014 (КПЕС 2008)»</w:t>
      </w:r>
      <w:r w:rsidRPr="00792EB4">
        <w:rPr>
          <w:rFonts w:ascii="Times New Roman" w:hAnsi="Times New Roman" w:cs="Times New Roman"/>
          <w:sz w:val="28"/>
          <w:szCs w:val="28"/>
        </w:rPr>
        <w:t>;</w:t>
      </w:r>
    </w:p>
    <w:p w14:paraId="6724DD44" w14:textId="77777777" w:rsidR="005063DE" w:rsidRDefault="00673925" w:rsidP="00AF6A01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25">
        <w:rPr>
          <w:rFonts w:ascii="Times New Roman" w:hAnsi="Times New Roman" w:cs="Times New Roman"/>
          <w:sz w:val="28"/>
          <w:szCs w:val="28"/>
        </w:rPr>
        <w:lastRenderedPageBreak/>
        <w:t xml:space="preserve">CRM-система </w:t>
      </w:r>
      <w:r w:rsidR="00D043F1">
        <w:rPr>
          <w:rFonts w:ascii="Times New Roman" w:hAnsi="Times New Roman" w:cs="Times New Roman"/>
          <w:sz w:val="28"/>
          <w:szCs w:val="28"/>
        </w:rPr>
        <w:t>–</w:t>
      </w:r>
      <w:r w:rsidRPr="00673925">
        <w:rPr>
          <w:rFonts w:ascii="Times New Roman" w:hAnsi="Times New Roman" w:cs="Times New Roman"/>
          <w:sz w:val="28"/>
          <w:szCs w:val="28"/>
        </w:rPr>
        <w:t xml:space="preserve"> система управления взаимоотношениями с </w:t>
      </w:r>
      <w:r w:rsidR="009E0755">
        <w:rPr>
          <w:rFonts w:ascii="Times New Roman" w:hAnsi="Times New Roman" w:cs="Times New Roman"/>
          <w:sz w:val="28"/>
          <w:szCs w:val="28"/>
        </w:rPr>
        <w:t>инициаторами инвестиционных проектов</w:t>
      </w:r>
      <w:r w:rsidRPr="00673925">
        <w:rPr>
          <w:rFonts w:ascii="Times New Roman" w:hAnsi="Times New Roman" w:cs="Times New Roman"/>
          <w:sz w:val="28"/>
          <w:szCs w:val="28"/>
        </w:rPr>
        <w:t>, а также сопровождения инвестиционных проектов</w:t>
      </w:r>
      <w:r w:rsidR="00AF6A01">
        <w:rPr>
          <w:rFonts w:ascii="Times New Roman" w:hAnsi="Times New Roman" w:cs="Times New Roman"/>
          <w:sz w:val="28"/>
          <w:szCs w:val="28"/>
        </w:rPr>
        <w:t>.</w:t>
      </w:r>
    </w:p>
    <w:p w14:paraId="0C495ABD" w14:textId="77777777" w:rsidR="00817398" w:rsidRDefault="00817398" w:rsidP="00817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AC0C0" w14:textId="77777777" w:rsidR="00817398" w:rsidRDefault="00382892" w:rsidP="00997443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инициаторов </w:t>
      </w:r>
      <w:r w:rsidRPr="00382892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14:paraId="04317985" w14:textId="77777777" w:rsidR="00382892" w:rsidRPr="00382892" w:rsidRDefault="00382892" w:rsidP="0038289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790F88DA" w14:textId="77777777" w:rsidR="00382892" w:rsidRPr="002E717C" w:rsidRDefault="00382892" w:rsidP="00382892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</w:t>
      </w:r>
      <w:r w:rsidRPr="002E717C">
        <w:rPr>
          <w:rFonts w:ascii="Times New Roman" w:hAnsi="Times New Roman" w:cs="Times New Roman"/>
          <w:sz w:val="28"/>
          <w:szCs w:val="28"/>
        </w:rPr>
        <w:t xml:space="preserve">рассматривает следующие обращения </w:t>
      </w:r>
      <w:r w:rsidR="006E0862">
        <w:rPr>
          <w:rFonts w:ascii="Times New Roman" w:hAnsi="Times New Roman" w:cs="Times New Roman"/>
          <w:sz w:val="28"/>
          <w:szCs w:val="28"/>
        </w:rPr>
        <w:t>инициаторов инвестиционных проектов</w:t>
      </w:r>
      <w:r w:rsidRPr="002E717C">
        <w:rPr>
          <w:rFonts w:ascii="Times New Roman" w:hAnsi="Times New Roman" w:cs="Times New Roman"/>
          <w:sz w:val="28"/>
          <w:szCs w:val="28"/>
        </w:rPr>
        <w:t>:</w:t>
      </w:r>
    </w:p>
    <w:p w14:paraId="64021378" w14:textId="77777777" w:rsidR="00382892" w:rsidRDefault="00382892" w:rsidP="00382892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C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Pr="000A2F48">
        <w:rPr>
          <w:rFonts w:ascii="Times New Roman" w:hAnsi="Times New Roman" w:cs="Times New Roman"/>
          <w:sz w:val="28"/>
          <w:szCs w:val="28"/>
        </w:rPr>
        <w:t xml:space="preserve"> </w:t>
      </w:r>
      <w:r w:rsidR="00997443">
        <w:rPr>
          <w:rFonts w:ascii="Times New Roman" w:hAnsi="Times New Roman" w:cs="Times New Roman"/>
          <w:sz w:val="28"/>
          <w:szCs w:val="28"/>
        </w:rPr>
        <w:t>в целях получения</w:t>
      </w:r>
      <w:r w:rsidRPr="002E717C">
        <w:rPr>
          <w:rFonts w:ascii="Times New Roman" w:hAnsi="Times New Roman" w:cs="Times New Roman"/>
          <w:sz w:val="28"/>
          <w:szCs w:val="28"/>
        </w:rPr>
        <w:t xml:space="preserve"> консалтинговой, информационной, правовой поддержк</w:t>
      </w:r>
      <w:r w:rsidR="00997443">
        <w:rPr>
          <w:rFonts w:ascii="Times New Roman" w:hAnsi="Times New Roman" w:cs="Times New Roman"/>
          <w:sz w:val="28"/>
          <w:szCs w:val="28"/>
        </w:rPr>
        <w:t>и</w:t>
      </w:r>
      <w:r w:rsidRPr="002E717C">
        <w:rPr>
          <w:rFonts w:ascii="Times New Roman" w:hAnsi="Times New Roman" w:cs="Times New Roman"/>
          <w:sz w:val="28"/>
          <w:szCs w:val="28"/>
        </w:rPr>
        <w:t xml:space="preserve"> </w:t>
      </w:r>
      <w:r w:rsidR="00997443">
        <w:rPr>
          <w:rFonts w:ascii="Times New Roman" w:hAnsi="Times New Roman" w:cs="Times New Roman"/>
          <w:sz w:val="28"/>
          <w:szCs w:val="28"/>
        </w:rPr>
        <w:t>по вопросам</w:t>
      </w:r>
      <w:r w:rsidRPr="002E717C">
        <w:rPr>
          <w:rFonts w:ascii="Times New Roman" w:hAnsi="Times New Roman" w:cs="Times New Roman"/>
          <w:sz w:val="28"/>
          <w:szCs w:val="28"/>
        </w:rPr>
        <w:t xml:space="preserve"> осуществления инвестиционной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7443">
        <w:rPr>
          <w:rFonts w:ascii="Times New Roman" w:hAnsi="Times New Roman" w:cs="Times New Roman"/>
          <w:sz w:val="28"/>
          <w:szCs w:val="28"/>
        </w:rPr>
        <w:t xml:space="preserve"> запрос);</w:t>
      </w:r>
    </w:p>
    <w:p w14:paraId="3EB1E199" w14:textId="77777777" w:rsidR="00382892" w:rsidRPr="002E717C" w:rsidRDefault="00382892" w:rsidP="00382892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C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Pr="000A2F48">
        <w:rPr>
          <w:rFonts w:ascii="Times New Roman" w:hAnsi="Times New Roman" w:cs="Times New Roman"/>
          <w:sz w:val="28"/>
          <w:szCs w:val="28"/>
        </w:rPr>
        <w:t xml:space="preserve"> </w:t>
      </w:r>
      <w:r w:rsidRPr="002E717C">
        <w:rPr>
          <w:rFonts w:ascii="Times New Roman" w:hAnsi="Times New Roman" w:cs="Times New Roman"/>
          <w:sz w:val="28"/>
          <w:szCs w:val="28"/>
        </w:rPr>
        <w:t xml:space="preserve">о сопровождении инвестиционного проекта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717C">
        <w:rPr>
          <w:rFonts w:ascii="Times New Roman" w:hAnsi="Times New Roman" w:cs="Times New Roman"/>
          <w:sz w:val="28"/>
          <w:szCs w:val="28"/>
        </w:rPr>
        <w:t xml:space="preserve"> обращение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7C">
        <w:rPr>
          <w:rFonts w:ascii="Times New Roman" w:hAnsi="Times New Roman" w:cs="Times New Roman"/>
          <w:sz w:val="28"/>
          <w:szCs w:val="28"/>
        </w:rPr>
        <w:t>сопровождении);</w:t>
      </w:r>
    </w:p>
    <w:p w14:paraId="49287FDA" w14:textId="77777777" w:rsidR="00EF5AFB" w:rsidRDefault="00382892" w:rsidP="00EF5AFB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22">
        <w:rPr>
          <w:rFonts w:ascii="Times New Roman" w:hAnsi="Times New Roman" w:cs="Times New Roman"/>
          <w:sz w:val="28"/>
          <w:szCs w:val="28"/>
        </w:rPr>
        <w:t xml:space="preserve">Основанием для начала работы по запросу является </w:t>
      </w:r>
      <w:r w:rsidR="00EF5AFB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C73B22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6E0862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="006E0862" w:rsidRPr="000A2F48">
        <w:rPr>
          <w:rFonts w:ascii="Times New Roman" w:hAnsi="Times New Roman" w:cs="Times New Roman"/>
          <w:sz w:val="28"/>
          <w:szCs w:val="28"/>
        </w:rPr>
        <w:t xml:space="preserve"> </w:t>
      </w:r>
      <w:r w:rsidRPr="00C73B22">
        <w:rPr>
          <w:rFonts w:ascii="Times New Roman" w:hAnsi="Times New Roman" w:cs="Times New Roman"/>
          <w:sz w:val="28"/>
          <w:szCs w:val="28"/>
        </w:rPr>
        <w:t xml:space="preserve">по вопросу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EF5AFB">
        <w:rPr>
          <w:rFonts w:ascii="Times New Roman" w:hAnsi="Times New Roman" w:cs="Times New Roman"/>
          <w:sz w:val="28"/>
          <w:szCs w:val="28"/>
        </w:rPr>
        <w:t xml:space="preserve"> по форме, утвержденной специализированной организацией, направленное </w:t>
      </w:r>
      <w:r w:rsidR="00EF5AFB" w:rsidRPr="000A2F48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EF5AFB">
        <w:rPr>
          <w:rFonts w:ascii="Times New Roman" w:hAnsi="Times New Roman" w:cs="Times New Roman"/>
          <w:sz w:val="28"/>
          <w:szCs w:val="28"/>
        </w:rPr>
        <w:t>(</w:t>
      </w:r>
      <w:r w:rsidR="00EF5AFB" w:rsidRPr="00382892">
        <w:rPr>
          <w:rFonts w:ascii="Times New Roman" w:hAnsi="Times New Roman" w:cs="Times New Roman"/>
          <w:sz w:val="28"/>
          <w:szCs w:val="28"/>
        </w:rPr>
        <w:t>office@krkk.pro)</w:t>
      </w:r>
      <w:r w:rsidR="00EF5AFB">
        <w:rPr>
          <w:rFonts w:ascii="Times New Roman" w:hAnsi="Times New Roman" w:cs="Times New Roman"/>
          <w:sz w:val="28"/>
          <w:szCs w:val="28"/>
        </w:rPr>
        <w:t>,</w:t>
      </w:r>
      <w:r w:rsidR="00EF5AFB" w:rsidRPr="00382892">
        <w:rPr>
          <w:rFonts w:ascii="Times New Roman" w:hAnsi="Times New Roman" w:cs="Times New Roman"/>
          <w:sz w:val="28"/>
          <w:szCs w:val="28"/>
        </w:rPr>
        <w:t xml:space="preserve"> и (или) на </w:t>
      </w:r>
      <w:r w:rsidR="00EF5AFB" w:rsidRPr="000A2F48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EF5AFB">
        <w:rPr>
          <w:rFonts w:ascii="Times New Roman" w:hAnsi="Times New Roman" w:cs="Times New Roman"/>
          <w:sz w:val="28"/>
          <w:szCs w:val="28"/>
        </w:rPr>
        <w:t xml:space="preserve"> почтовой связью</w:t>
      </w:r>
      <w:r w:rsidR="00EF5AFB" w:rsidRPr="000A2F48">
        <w:rPr>
          <w:rFonts w:ascii="Times New Roman" w:hAnsi="Times New Roman" w:cs="Times New Roman"/>
          <w:sz w:val="28"/>
          <w:szCs w:val="28"/>
        </w:rPr>
        <w:t xml:space="preserve">, и (или) лично </w:t>
      </w:r>
      <w:r w:rsidR="00EF5AFB">
        <w:rPr>
          <w:rFonts w:ascii="Times New Roman" w:hAnsi="Times New Roman" w:cs="Times New Roman"/>
          <w:sz w:val="28"/>
          <w:szCs w:val="28"/>
        </w:rPr>
        <w:t>инициатором инвестиционного проекта</w:t>
      </w:r>
      <w:r w:rsidR="00EF5AFB" w:rsidRPr="000A2F48">
        <w:rPr>
          <w:rFonts w:ascii="Times New Roman" w:hAnsi="Times New Roman" w:cs="Times New Roman"/>
          <w:sz w:val="28"/>
          <w:szCs w:val="28"/>
        </w:rPr>
        <w:t>.</w:t>
      </w:r>
    </w:p>
    <w:p w14:paraId="31BD9CCC" w14:textId="77777777" w:rsidR="00382892" w:rsidRDefault="00382892" w:rsidP="00382892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Pr="00C73B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D739D">
        <w:rPr>
          <w:rFonts w:ascii="Times New Roman" w:hAnsi="Times New Roman" w:cs="Times New Roman"/>
          <w:sz w:val="28"/>
          <w:szCs w:val="28"/>
        </w:rPr>
        <w:t>5</w:t>
      </w:r>
      <w:r w:rsidRPr="00C73B22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запроса направляет ответ </w:t>
      </w:r>
      <w:r w:rsidR="006E0862">
        <w:rPr>
          <w:rFonts w:ascii="Times New Roman" w:hAnsi="Times New Roman" w:cs="Times New Roman"/>
          <w:sz w:val="28"/>
          <w:szCs w:val="28"/>
        </w:rPr>
        <w:t>инициатору инвестиционного проекта</w:t>
      </w:r>
      <w:r w:rsidR="006E0862" w:rsidRPr="000A2F48">
        <w:rPr>
          <w:rFonts w:ascii="Times New Roman" w:hAnsi="Times New Roman" w:cs="Times New Roman"/>
          <w:sz w:val="28"/>
          <w:szCs w:val="28"/>
        </w:rPr>
        <w:t xml:space="preserve"> </w:t>
      </w:r>
      <w:r w:rsidRPr="00C73B22">
        <w:rPr>
          <w:rFonts w:ascii="Times New Roman" w:hAnsi="Times New Roman" w:cs="Times New Roman"/>
          <w:sz w:val="28"/>
          <w:szCs w:val="28"/>
        </w:rPr>
        <w:t xml:space="preserve">по почтовому адресу или адресу электронной почты, указанному в запросе. </w:t>
      </w:r>
    </w:p>
    <w:p w14:paraId="52350657" w14:textId="77777777" w:rsidR="00382892" w:rsidRPr="002E717C" w:rsidRDefault="00382892" w:rsidP="00382892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C">
        <w:rPr>
          <w:rFonts w:ascii="Times New Roman" w:hAnsi="Times New Roman" w:cs="Times New Roman"/>
          <w:sz w:val="28"/>
          <w:szCs w:val="28"/>
        </w:rPr>
        <w:t>Основанием для начала сопровождения инвестиционного проекта является поступление в специализированную организацию обращения о сопровождении.</w:t>
      </w:r>
    </w:p>
    <w:p w14:paraId="57411557" w14:textId="77777777" w:rsidR="00382892" w:rsidRDefault="00382892" w:rsidP="00382892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2F48"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szCs w:val="28"/>
        </w:rPr>
        <w:t>о сопровождении</w:t>
      </w:r>
      <w:r w:rsidRPr="000A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направлено путем</w:t>
      </w:r>
      <w:r w:rsidRPr="000A2F48">
        <w:rPr>
          <w:rFonts w:ascii="Times New Roman" w:hAnsi="Times New Roman" w:cs="Times New Roman"/>
          <w:sz w:val="28"/>
          <w:szCs w:val="28"/>
        </w:rPr>
        <w:t>:</w:t>
      </w:r>
    </w:p>
    <w:p w14:paraId="76DC8D5C" w14:textId="5B627EDF" w:rsidR="00382892" w:rsidRPr="0009522D" w:rsidRDefault="00382892" w:rsidP="00382892">
      <w:pPr>
        <w:pStyle w:val="a3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8C">
        <w:rPr>
          <w:rFonts w:ascii="Times New Roman" w:hAnsi="Times New Roman" w:cs="Times New Roman"/>
          <w:sz w:val="28"/>
          <w:szCs w:val="28"/>
        </w:rPr>
        <w:t>заполнени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768C">
        <w:rPr>
          <w:rFonts w:ascii="Times New Roman" w:hAnsi="Times New Roman" w:cs="Times New Roman"/>
          <w:sz w:val="28"/>
          <w:szCs w:val="28"/>
        </w:rPr>
        <w:t xml:space="preserve"> формы заявки, размещенной на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68C">
        <w:rPr>
          <w:rFonts w:ascii="Times New Roman" w:hAnsi="Times New Roman" w:cs="Times New Roman"/>
          <w:sz w:val="28"/>
          <w:szCs w:val="28"/>
        </w:rPr>
        <w:t>Инвестиционный портал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68C">
        <w:rPr>
          <w:rFonts w:ascii="Times New Roman" w:hAnsi="Times New Roman" w:cs="Times New Roman"/>
          <w:sz w:val="28"/>
          <w:szCs w:val="28"/>
        </w:rPr>
        <w:t xml:space="preserve"> (</w:t>
      </w:r>
      <w:r w:rsidR="00382426" w:rsidRPr="00382426">
        <w:rPr>
          <w:rFonts w:ascii="Times New Roman" w:hAnsi="Times New Roman" w:cs="Times New Roman"/>
          <w:sz w:val="28"/>
          <w:szCs w:val="28"/>
        </w:rPr>
        <w:t>http://investkamchatka.ru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2426">
        <w:rPr>
          <w:rFonts w:ascii="Times New Roman" w:hAnsi="Times New Roman" w:cs="Times New Roman"/>
          <w:sz w:val="28"/>
          <w:szCs w:val="28"/>
        </w:rPr>
        <w:t xml:space="preserve"> </w:t>
      </w:r>
      <w:r w:rsidR="00382426" w:rsidRPr="0009522D">
        <w:rPr>
          <w:rFonts w:ascii="Times New Roman" w:hAnsi="Times New Roman" w:cs="Times New Roman"/>
          <w:sz w:val="28"/>
          <w:szCs w:val="28"/>
        </w:rPr>
        <w:t>(далее – Инвестиционный портал)</w:t>
      </w:r>
      <w:r w:rsidR="00337217" w:rsidRPr="0009522D">
        <w:rPr>
          <w:rFonts w:ascii="Times New Roman" w:hAnsi="Times New Roman" w:cs="Times New Roman"/>
          <w:sz w:val="28"/>
          <w:szCs w:val="28"/>
        </w:rPr>
        <w:t>;</w:t>
      </w:r>
    </w:p>
    <w:p w14:paraId="0627EBB3" w14:textId="77777777" w:rsidR="00382892" w:rsidRDefault="00382892" w:rsidP="00382892">
      <w:pPr>
        <w:pStyle w:val="a3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2D">
        <w:rPr>
          <w:rFonts w:ascii="Times New Roman" w:hAnsi="Times New Roman" w:cs="Times New Roman"/>
          <w:sz w:val="28"/>
          <w:szCs w:val="28"/>
        </w:rPr>
        <w:t>направления заявки о реализации инвестиционного</w:t>
      </w:r>
      <w:r w:rsidRPr="000A2F48">
        <w:rPr>
          <w:rFonts w:ascii="Times New Roman" w:hAnsi="Times New Roman" w:cs="Times New Roman"/>
          <w:sz w:val="28"/>
          <w:szCs w:val="28"/>
        </w:rPr>
        <w:t xml:space="preserve"> проекта по электронной почте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892">
        <w:rPr>
          <w:rFonts w:ascii="Times New Roman" w:hAnsi="Times New Roman" w:cs="Times New Roman"/>
          <w:sz w:val="28"/>
          <w:szCs w:val="28"/>
        </w:rPr>
        <w:t xml:space="preserve">office@krkk.pro) и (или) на </w:t>
      </w:r>
      <w:r w:rsidRPr="000A2F48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EF5AFB">
        <w:rPr>
          <w:rFonts w:ascii="Times New Roman" w:hAnsi="Times New Roman" w:cs="Times New Roman"/>
          <w:sz w:val="28"/>
          <w:szCs w:val="28"/>
        </w:rPr>
        <w:t xml:space="preserve"> почтовой связью</w:t>
      </w:r>
      <w:r w:rsidRPr="000A2F48">
        <w:rPr>
          <w:rFonts w:ascii="Times New Roman" w:hAnsi="Times New Roman" w:cs="Times New Roman"/>
          <w:sz w:val="28"/>
          <w:szCs w:val="28"/>
        </w:rPr>
        <w:t xml:space="preserve">, и (или) лично </w:t>
      </w:r>
      <w:r w:rsidR="00E574B1">
        <w:rPr>
          <w:rFonts w:ascii="Times New Roman" w:hAnsi="Times New Roman" w:cs="Times New Roman"/>
          <w:sz w:val="28"/>
          <w:szCs w:val="28"/>
        </w:rPr>
        <w:t>инициатором инвестиционного проекта</w:t>
      </w:r>
      <w:r w:rsidRPr="000A2F48">
        <w:rPr>
          <w:rFonts w:ascii="Times New Roman" w:hAnsi="Times New Roman" w:cs="Times New Roman"/>
          <w:sz w:val="28"/>
          <w:szCs w:val="28"/>
        </w:rPr>
        <w:t>.</w:t>
      </w:r>
    </w:p>
    <w:p w14:paraId="4489ED72" w14:textId="77777777" w:rsidR="00382892" w:rsidRPr="004C6384" w:rsidRDefault="00382892" w:rsidP="007406C8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84">
        <w:rPr>
          <w:rFonts w:ascii="Times New Roman" w:hAnsi="Times New Roman" w:cs="Times New Roman"/>
          <w:sz w:val="28"/>
          <w:szCs w:val="28"/>
        </w:rPr>
        <w:t xml:space="preserve">Руководитель специализированной организации в </w:t>
      </w:r>
      <w:r w:rsidR="007A62A0" w:rsidRPr="004C6384">
        <w:rPr>
          <w:rFonts w:ascii="Times New Roman" w:hAnsi="Times New Roman" w:cs="Times New Roman"/>
          <w:sz w:val="28"/>
          <w:szCs w:val="28"/>
        </w:rPr>
        <w:t xml:space="preserve">течение первого рабочего </w:t>
      </w:r>
      <w:r w:rsidRPr="004C6384">
        <w:rPr>
          <w:rFonts w:ascii="Times New Roman" w:hAnsi="Times New Roman" w:cs="Times New Roman"/>
          <w:sz w:val="28"/>
          <w:szCs w:val="28"/>
        </w:rPr>
        <w:t>д</w:t>
      </w:r>
      <w:r w:rsidR="007A62A0" w:rsidRPr="004C6384">
        <w:rPr>
          <w:rFonts w:ascii="Times New Roman" w:hAnsi="Times New Roman" w:cs="Times New Roman"/>
          <w:sz w:val="28"/>
          <w:szCs w:val="28"/>
        </w:rPr>
        <w:t>ня</w:t>
      </w:r>
      <w:r w:rsidR="004C6384" w:rsidRPr="004C6384">
        <w:rPr>
          <w:rFonts w:ascii="Times New Roman" w:hAnsi="Times New Roman" w:cs="Times New Roman"/>
          <w:sz w:val="28"/>
          <w:szCs w:val="28"/>
        </w:rPr>
        <w:t>,</w:t>
      </w:r>
      <w:r w:rsidR="007A62A0" w:rsidRPr="004C6384">
        <w:rPr>
          <w:rFonts w:ascii="Times New Roman" w:hAnsi="Times New Roman" w:cs="Times New Roman"/>
          <w:sz w:val="28"/>
          <w:szCs w:val="28"/>
        </w:rPr>
        <w:t xml:space="preserve"> следующего за днем поступления обращения</w:t>
      </w:r>
      <w:r w:rsidR="004C6384" w:rsidRPr="004C6384">
        <w:rPr>
          <w:rFonts w:ascii="Times New Roman" w:hAnsi="Times New Roman" w:cs="Times New Roman"/>
          <w:sz w:val="28"/>
          <w:szCs w:val="28"/>
        </w:rPr>
        <w:t xml:space="preserve"> о сопровождении,</w:t>
      </w:r>
      <w:r w:rsidR="004C6384">
        <w:rPr>
          <w:rFonts w:ascii="Times New Roman" w:hAnsi="Times New Roman" w:cs="Times New Roman"/>
          <w:sz w:val="28"/>
          <w:szCs w:val="28"/>
        </w:rPr>
        <w:t xml:space="preserve"> </w:t>
      </w:r>
      <w:r w:rsidRPr="004C6384">
        <w:rPr>
          <w:rFonts w:ascii="Times New Roman" w:hAnsi="Times New Roman" w:cs="Times New Roman"/>
          <w:sz w:val="28"/>
          <w:szCs w:val="28"/>
        </w:rPr>
        <w:t xml:space="preserve">назначает менеджера инвестиционного проекта, который не позднее </w:t>
      </w:r>
      <w:r w:rsidR="007A62A0" w:rsidRPr="004C6384">
        <w:rPr>
          <w:rFonts w:ascii="Times New Roman" w:hAnsi="Times New Roman" w:cs="Times New Roman"/>
          <w:sz w:val="28"/>
          <w:szCs w:val="28"/>
        </w:rPr>
        <w:t xml:space="preserve">первого рабочего </w:t>
      </w:r>
      <w:r w:rsidRPr="004C6384">
        <w:rPr>
          <w:rFonts w:ascii="Times New Roman" w:hAnsi="Times New Roman" w:cs="Times New Roman"/>
          <w:sz w:val="28"/>
          <w:szCs w:val="28"/>
        </w:rPr>
        <w:t>дня, следующего за днем поступления обращения:</w:t>
      </w:r>
    </w:p>
    <w:p w14:paraId="7A6709D3" w14:textId="77777777" w:rsidR="00382892" w:rsidRPr="009A7067" w:rsidRDefault="00382892" w:rsidP="00382892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E574B1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="00E574B1" w:rsidRPr="000A2F48">
        <w:rPr>
          <w:rFonts w:ascii="Times New Roman" w:hAnsi="Times New Roman" w:cs="Times New Roman"/>
          <w:sz w:val="28"/>
          <w:szCs w:val="28"/>
        </w:rPr>
        <w:t xml:space="preserve"> </w:t>
      </w:r>
      <w:r w:rsidRPr="009A7067">
        <w:rPr>
          <w:rFonts w:ascii="Times New Roman" w:hAnsi="Times New Roman" w:cs="Times New Roman"/>
          <w:sz w:val="28"/>
          <w:szCs w:val="28"/>
        </w:rPr>
        <w:t>о получении его обращения, а также сообщает свои контактные данные;</w:t>
      </w:r>
    </w:p>
    <w:p w14:paraId="5DF0D491" w14:textId="77777777" w:rsidR="00382892" w:rsidRPr="00CC5889" w:rsidRDefault="00382892" w:rsidP="00382892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запрашивает информацию о контактном лице со стороны </w:t>
      </w:r>
      <w:r w:rsidR="00E574B1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Pr="009A7067">
        <w:rPr>
          <w:rFonts w:ascii="Times New Roman" w:hAnsi="Times New Roman" w:cs="Times New Roman"/>
          <w:sz w:val="28"/>
          <w:szCs w:val="28"/>
        </w:rPr>
        <w:t>;</w:t>
      </w:r>
    </w:p>
    <w:p w14:paraId="7B17B4AF" w14:textId="77777777" w:rsidR="00382892" w:rsidRPr="009A7067" w:rsidRDefault="00382892" w:rsidP="00382892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067">
        <w:rPr>
          <w:rFonts w:ascii="Times New Roman" w:hAnsi="Times New Roman" w:cs="Times New Roman"/>
          <w:sz w:val="28"/>
          <w:szCs w:val="28"/>
        </w:rPr>
        <w:t>т полноту информации, содержащейся в обращении;</w:t>
      </w:r>
    </w:p>
    <w:p w14:paraId="577BA0FF" w14:textId="77777777" w:rsidR="00382892" w:rsidRDefault="00382892" w:rsidP="007823CC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7D3E24">
        <w:rPr>
          <w:rFonts w:ascii="Times New Roman" w:hAnsi="Times New Roman" w:cs="Times New Roman"/>
          <w:sz w:val="28"/>
          <w:szCs w:val="28"/>
        </w:rPr>
        <w:t xml:space="preserve">бизнес-план, содержащий </w:t>
      </w:r>
      <w:r w:rsidR="007823CC" w:rsidRPr="007823CC">
        <w:rPr>
          <w:rFonts w:ascii="Times New Roman" w:hAnsi="Times New Roman" w:cs="Times New Roman"/>
          <w:sz w:val="28"/>
          <w:szCs w:val="28"/>
        </w:rPr>
        <w:t xml:space="preserve">сведения, указанные в приложении </w:t>
      </w:r>
      <w:r w:rsidR="007823CC">
        <w:rPr>
          <w:rFonts w:ascii="Times New Roman" w:hAnsi="Times New Roman" w:cs="Times New Roman"/>
          <w:sz w:val="28"/>
          <w:szCs w:val="28"/>
        </w:rPr>
        <w:t>1</w:t>
      </w:r>
      <w:r w:rsidR="007823CC" w:rsidRPr="007823C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823C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C478E" w14:textId="77777777" w:rsidR="00382892" w:rsidRPr="00CC5889" w:rsidRDefault="00382892" w:rsidP="00382892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89">
        <w:rPr>
          <w:rFonts w:ascii="Times New Roman" w:hAnsi="Times New Roman" w:cs="Times New Roman"/>
          <w:sz w:val="28"/>
          <w:szCs w:val="28"/>
        </w:rPr>
        <w:lastRenderedPageBreak/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889">
        <w:rPr>
          <w:rFonts w:ascii="Times New Roman" w:hAnsi="Times New Roman" w:cs="Times New Roman"/>
          <w:sz w:val="28"/>
          <w:szCs w:val="28"/>
        </w:rPr>
        <w:t xml:space="preserve">т в CRM-систему контактную информацию об </w:t>
      </w:r>
      <w:r w:rsidR="00E574B1">
        <w:rPr>
          <w:rFonts w:ascii="Times New Roman" w:hAnsi="Times New Roman" w:cs="Times New Roman"/>
          <w:sz w:val="28"/>
          <w:szCs w:val="28"/>
        </w:rPr>
        <w:t>инициаторе инвестиционного проекта</w:t>
      </w:r>
      <w:r w:rsidRPr="00CC5889">
        <w:rPr>
          <w:rFonts w:ascii="Times New Roman" w:hAnsi="Times New Roman" w:cs="Times New Roman"/>
          <w:sz w:val="28"/>
          <w:szCs w:val="28"/>
        </w:rPr>
        <w:t xml:space="preserve">, результаты взаимодействия с </w:t>
      </w:r>
      <w:r w:rsidR="00E574B1">
        <w:rPr>
          <w:rFonts w:ascii="Times New Roman" w:hAnsi="Times New Roman" w:cs="Times New Roman"/>
          <w:sz w:val="28"/>
          <w:szCs w:val="28"/>
        </w:rPr>
        <w:t>инициатором инвестиционного проекта</w:t>
      </w:r>
      <w:r w:rsidRPr="00CC5889">
        <w:rPr>
          <w:rFonts w:ascii="Times New Roman" w:hAnsi="Times New Roman" w:cs="Times New Roman"/>
          <w:sz w:val="28"/>
          <w:szCs w:val="28"/>
        </w:rPr>
        <w:t xml:space="preserve">, документы, представленные </w:t>
      </w:r>
      <w:r w:rsidR="00E574B1">
        <w:rPr>
          <w:rFonts w:ascii="Times New Roman" w:hAnsi="Times New Roman" w:cs="Times New Roman"/>
          <w:sz w:val="28"/>
          <w:szCs w:val="28"/>
        </w:rPr>
        <w:t>инициатором инвестиционного проекта</w:t>
      </w:r>
      <w:r w:rsidR="00E574B1" w:rsidRPr="000A2F48">
        <w:rPr>
          <w:rFonts w:ascii="Times New Roman" w:hAnsi="Times New Roman" w:cs="Times New Roman"/>
          <w:sz w:val="28"/>
          <w:szCs w:val="28"/>
        </w:rPr>
        <w:t xml:space="preserve"> </w:t>
      </w:r>
      <w:r w:rsidR="00E574B1">
        <w:rPr>
          <w:rFonts w:ascii="Times New Roman" w:hAnsi="Times New Roman" w:cs="Times New Roman"/>
          <w:sz w:val="28"/>
          <w:szCs w:val="28"/>
        </w:rPr>
        <w:t>при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1E228" w14:textId="77777777" w:rsidR="006A75D2" w:rsidRDefault="00382892" w:rsidP="00382892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Pr="009A706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</w:t>
      </w:r>
      <w:r>
        <w:rPr>
          <w:rFonts w:ascii="Times New Roman" w:hAnsi="Times New Roman" w:cs="Times New Roman"/>
          <w:sz w:val="28"/>
          <w:szCs w:val="28"/>
        </w:rPr>
        <w:t>предоставления инициатором инвестиционного проекта документов, предусмотренных</w:t>
      </w: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4 части </w:t>
      </w:r>
      <w:r w:rsidR="004C6384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9A706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F796B">
        <w:rPr>
          <w:rFonts w:ascii="Times New Roman" w:hAnsi="Times New Roman" w:cs="Times New Roman"/>
          <w:sz w:val="28"/>
          <w:szCs w:val="28"/>
        </w:rPr>
        <w:t>обращение</w:t>
      </w:r>
      <w:r w:rsidR="006A75D2">
        <w:rPr>
          <w:rFonts w:ascii="Times New Roman" w:hAnsi="Times New Roman" w:cs="Times New Roman"/>
          <w:sz w:val="28"/>
          <w:szCs w:val="28"/>
        </w:rPr>
        <w:t>:</w:t>
      </w:r>
    </w:p>
    <w:p w14:paraId="683E14FC" w14:textId="6B42EE37" w:rsidR="00382892" w:rsidRPr="009A7067" w:rsidRDefault="00382892" w:rsidP="006A75D2">
      <w:pPr>
        <w:pStyle w:val="a3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75D2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Камчатского края</w:t>
      </w:r>
      <w:r w:rsidR="00AF6A01">
        <w:rPr>
          <w:rFonts w:ascii="Times New Roman" w:hAnsi="Times New Roman" w:cs="Times New Roman"/>
          <w:sz w:val="28"/>
          <w:szCs w:val="28"/>
        </w:rPr>
        <w:t xml:space="preserve"> </w:t>
      </w:r>
      <w:r w:rsidR="006A75D2">
        <w:rPr>
          <w:rFonts w:ascii="Times New Roman" w:hAnsi="Times New Roman" w:cs="Times New Roman"/>
          <w:sz w:val="28"/>
          <w:szCs w:val="28"/>
        </w:rPr>
        <w:t>для подготовки в течение 10 рабочих дней заключени</w:t>
      </w:r>
      <w:r w:rsidR="00D25987">
        <w:rPr>
          <w:rFonts w:ascii="Times New Roman" w:hAnsi="Times New Roman" w:cs="Times New Roman"/>
          <w:sz w:val="28"/>
          <w:szCs w:val="28"/>
        </w:rPr>
        <w:t xml:space="preserve">й в соответствии с приложением </w:t>
      </w:r>
      <w:r w:rsidR="0009522D">
        <w:rPr>
          <w:rFonts w:ascii="Times New Roman" w:hAnsi="Times New Roman" w:cs="Times New Roman"/>
          <w:sz w:val="28"/>
          <w:szCs w:val="28"/>
        </w:rPr>
        <w:t>2</w:t>
      </w:r>
      <w:r w:rsidR="00D25987">
        <w:rPr>
          <w:rFonts w:ascii="Times New Roman" w:hAnsi="Times New Roman" w:cs="Times New Roman"/>
          <w:sz w:val="28"/>
          <w:szCs w:val="28"/>
        </w:rPr>
        <w:t xml:space="preserve"> к настоящему Регламенту, а также содержащих информацию (в пределах компетенции)</w:t>
      </w:r>
      <w:r w:rsidRPr="009A7067">
        <w:rPr>
          <w:rFonts w:ascii="Times New Roman" w:hAnsi="Times New Roman" w:cs="Times New Roman"/>
          <w:sz w:val="28"/>
          <w:szCs w:val="28"/>
        </w:rPr>
        <w:t>:</w:t>
      </w:r>
    </w:p>
    <w:p w14:paraId="30B7FC70" w14:textId="77777777" w:rsidR="00D25987" w:rsidRPr="003013EE" w:rsidRDefault="00D25987" w:rsidP="00D25987">
      <w:pPr>
        <w:pStyle w:val="a3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EE">
        <w:rPr>
          <w:rFonts w:ascii="Times New Roman" w:hAnsi="Times New Roman" w:cs="Times New Roman"/>
          <w:sz w:val="28"/>
          <w:szCs w:val="28"/>
        </w:rPr>
        <w:t>о наличии конкурентных преимуществ инвестиционного проекта;</w:t>
      </w:r>
    </w:p>
    <w:p w14:paraId="1D5C15F4" w14:textId="77777777" w:rsidR="00D25987" w:rsidRPr="003013EE" w:rsidRDefault="00D25987" w:rsidP="00D25987">
      <w:pPr>
        <w:pStyle w:val="a3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EE">
        <w:rPr>
          <w:rFonts w:ascii="Times New Roman" w:hAnsi="Times New Roman" w:cs="Times New Roman"/>
          <w:sz w:val="28"/>
          <w:szCs w:val="28"/>
        </w:rPr>
        <w:t>о соответствии целей реализации инвестиционного проекта приоритетным направлениям социально-экономического развития Камчатского края;</w:t>
      </w:r>
    </w:p>
    <w:p w14:paraId="70C2ED22" w14:textId="77777777" w:rsidR="00D25987" w:rsidRPr="003013EE" w:rsidRDefault="00D25987" w:rsidP="00D25987">
      <w:pPr>
        <w:pStyle w:val="a3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EE">
        <w:rPr>
          <w:rFonts w:ascii="Times New Roman" w:hAnsi="Times New Roman" w:cs="Times New Roman"/>
          <w:sz w:val="28"/>
          <w:szCs w:val="28"/>
        </w:rPr>
        <w:t>о возможности привлечения потенциальных инвесторов для реализации инвестиционного проекта или иных источников финансирования;</w:t>
      </w:r>
    </w:p>
    <w:p w14:paraId="011013BD" w14:textId="77777777" w:rsidR="00D25987" w:rsidRPr="003013EE" w:rsidRDefault="00D25987" w:rsidP="00D25987">
      <w:pPr>
        <w:pStyle w:val="a3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EE">
        <w:rPr>
          <w:rFonts w:ascii="Times New Roman" w:hAnsi="Times New Roman" w:cs="Times New Roman"/>
          <w:sz w:val="28"/>
          <w:szCs w:val="28"/>
        </w:rPr>
        <w:t>о наличии на территории, где предполагается реализация инвестиционного проекта, а также на прилегающей территории объектов внутренней и внешней инженерной, транспортной, инновационной, социальной и иной инфраструктуры и их мощности;</w:t>
      </w:r>
    </w:p>
    <w:p w14:paraId="60D1D9CD" w14:textId="77777777" w:rsidR="00D25987" w:rsidRPr="003013EE" w:rsidRDefault="00D25987" w:rsidP="00D25987">
      <w:pPr>
        <w:pStyle w:val="a3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EE">
        <w:rPr>
          <w:rFonts w:ascii="Times New Roman" w:hAnsi="Times New Roman" w:cs="Times New Roman"/>
          <w:sz w:val="28"/>
          <w:szCs w:val="28"/>
        </w:rPr>
        <w:t>о наличии возможностей и условий реализации инвестиционного прое</w:t>
      </w:r>
      <w:r>
        <w:rPr>
          <w:rFonts w:ascii="Times New Roman" w:hAnsi="Times New Roman" w:cs="Times New Roman"/>
          <w:sz w:val="28"/>
          <w:szCs w:val="28"/>
        </w:rPr>
        <w:t>кта;</w:t>
      </w:r>
    </w:p>
    <w:p w14:paraId="6D9D8AC0" w14:textId="77777777" w:rsidR="006A75D2" w:rsidRDefault="006A75D2" w:rsidP="00D25987">
      <w:pPr>
        <w:pStyle w:val="a3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0F">
        <w:rPr>
          <w:rFonts w:ascii="Times New Roman" w:hAnsi="Times New Roman" w:cs="Times New Roman"/>
          <w:sz w:val="28"/>
          <w:szCs w:val="28"/>
        </w:rPr>
        <w:t>в органы местного самоуправления муниципального образования в Камчатском крае, на территории которого реализуется и (или) планируется к реализации инвестиционный проект (далее – органы местного самоуправления), для подготовки в течение 10 рабочих дней заключения о возможности реализации инвестиционного проекта на территории муниципального образования в Камчатском крае с обязательным указанием перечня пригодных для этого земельных участков и технических характеристик обеспечивающей инфраструктуры.</w:t>
      </w:r>
    </w:p>
    <w:p w14:paraId="4FE0E807" w14:textId="77777777" w:rsidR="00382892" w:rsidRPr="009A7067" w:rsidRDefault="00382892" w:rsidP="00382892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инвестиционного проекта</w:t>
      </w:r>
      <w:r w:rsidRPr="009A7067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получения позиции органов, указанных в </w:t>
      </w:r>
      <w:r w:rsidRPr="0009522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C6384" w:rsidRPr="0009522D">
        <w:rPr>
          <w:rFonts w:ascii="Times New Roman" w:hAnsi="Times New Roman" w:cs="Times New Roman"/>
          <w:sz w:val="28"/>
          <w:szCs w:val="28"/>
        </w:rPr>
        <w:t>2.7</w:t>
      </w:r>
      <w:r w:rsidRPr="0009522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14:paraId="02322D30" w14:textId="77777777" w:rsidR="00382892" w:rsidRPr="009A7067" w:rsidRDefault="00382892" w:rsidP="00382892">
      <w:pPr>
        <w:pStyle w:val="a3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E574B1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="00E574B1" w:rsidRPr="000A2F48">
        <w:rPr>
          <w:rFonts w:ascii="Times New Roman" w:hAnsi="Times New Roman" w:cs="Times New Roman"/>
          <w:sz w:val="28"/>
          <w:szCs w:val="28"/>
        </w:rPr>
        <w:t xml:space="preserve"> </w:t>
      </w:r>
      <w:r w:rsidRPr="009A7067">
        <w:rPr>
          <w:rFonts w:ascii="Times New Roman" w:hAnsi="Times New Roman" w:cs="Times New Roman"/>
          <w:sz w:val="28"/>
          <w:szCs w:val="28"/>
        </w:rPr>
        <w:t>о возможных формах сопровождения инвестиционного проекта, возможных формах государственной поддержки инвестиционной деятельности, в том числе о перечне необходимых для ее получения документов;</w:t>
      </w:r>
    </w:p>
    <w:p w14:paraId="59FC3957" w14:textId="77777777" w:rsidR="00382892" w:rsidRPr="009A7067" w:rsidRDefault="00382892" w:rsidP="00382892">
      <w:pPr>
        <w:pStyle w:val="a3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определяет дату личной встречи с представителем </w:t>
      </w:r>
      <w:r w:rsidR="00E574B1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Pr="009A7067">
        <w:rPr>
          <w:rFonts w:ascii="Times New Roman" w:hAnsi="Times New Roman" w:cs="Times New Roman"/>
          <w:sz w:val="28"/>
          <w:szCs w:val="28"/>
        </w:rPr>
        <w:t>;</w:t>
      </w:r>
    </w:p>
    <w:p w14:paraId="3C30B392" w14:textId="77777777" w:rsidR="00382892" w:rsidRDefault="00382892" w:rsidP="00382892">
      <w:pPr>
        <w:pStyle w:val="a3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574B1">
        <w:rPr>
          <w:rFonts w:ascii="Times New Roman" w:hAnsi="Times New Roman" w:cs="Times New Roman"/>
          <w:sz w:val="28"/>
          <w:szCs w:val="28"/>
        </w:rPr>
        <w:t>инициатором инвестиционного проекта</w:t>
      </w:r>
      <w:r w:rsidR="00E574B1" w:rsidRPr="000A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 план мероприятий по реализации инвестиционного проекта, в соответствии с типовой формой</w:t>
      </w:r>
      <w:r w:rsidR="00E57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специализированной организацией.</w:t>
      </w:r>
    </w:p>
    <w:p w14:paraId="3365C746" w14:textId="77777777" w:rsidR="00817398" w:rsidRDefault="00817398" w:rsidP="0081739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629A9D19" w14:textId="77777777" w:rsidR="00382892" w:rsidRDefault="00382892" w:rsidP="00382892">
      <w:pPr>
        <w:pStyle w:val="a3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Сопровождение инвестиционных проектов</w:t>
      </w:r>
    </w:p>
    <w:p w14:paraId="6089ABA9" w14:textId="77777777" w:rsidR="00382892" w:rsidRPr="00792EB4" w:rsidRDefault="00382892" w:rsidP="0038289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1C8B5B99" w14:textId="77777777" w:rsidR="00382B60" w:rsidRDefault="009A7067" w:rsidP="006E086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60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382B60" w:rsidRPr="00382B60">
        <w:rPr>
          <w:rFonts w:ascii="Times New Roman" w:hAnsi="Times New Roman" w:cs="Times New Roman"/>
          <w:sz w:val="28"/>
          <w:szCs w:val="28"/>
        </w:rPr>
        <w:t>ая</w:t>
      </w:r>
      <w:r w:rsidRPr="00382B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2B60" w:rsidRPr="00382B60">
        <w:rPr>
          <w:rFonts w:ascii="Times New Roman" w:hAnsi="Times New Roman" w:cs="Times New Roman"/>
          <w:sz w:val="28"/>
          <w:szCs w:val="28"/>
        </w:rPr>
        <w:t>я</w:t>
      </w:r>
      <w:r w:rsidRPr="00382B60">
        <w:rPr>
          <w:rFonts w:ascii="Times New Roman" w:hAnsi="Times New Roman" w:cs="Times New Roman"/>
          <w:sz w:val="28"/>
          <w:szCs w:val="28"/>
        </w:rPr>
        <w:t xml:space="preserve"> в рамках сопровождения инвестиционных проектов по принципу </w:t>
      </w:r>
      <w:r w:rsidR="00382B60" w:rsidRPr="00382B60">
        <w:rPr>
          <w:rFonts w:ascii="Times New Roman" w:hAnsi="Times New Roman" w:cs="Times New Roman"/>
          <w:sz w:val="28"/>
          <w:szCs w:val="28"/>
        </w:rPr>
        <w:t>«одного окна»</w:t>
      </w:r>
      <w:r w:rsidRPr="00382B60">
        <w:rPr>
          <w:rFonts w:ascii="Times New Roman" w:hAnsi="Times New Roman" w:cs="Times New Roman"/>
          <w:sz w:val="28"/>
          <w:szCs w:val="28"/>
        </w:rPr>
        <w:t xml:space="preserve"> в целях обеспечения их реализации на территории </w:t>
      </w:r>
      <w:r w:rsidR="00382B60" w:rsidRPr="00382B60">
        <w:rPr>
          <w:rFonts w:ascii="Times New Roman" w:hAnsi="Times New Roman" w:cs="Times New Roman"/>
          <w:sz w:val="28"/>
          <w:szCs w:val="28"/>
        </w:rPr>
        <w:t>Камчатского</w:t>
      </w:r>
      <w:r w:rsidRPr="00382B60">
        <w:rPr>
          <w:rFonts w:ascii="Times New Roman" w:hAnsi="Times New Roman" w:cs="Times New Roman"/>
          <w:sz w:val="28"/>
          <w:szCs w:val="28"/>
        </w:rPr>
        <w:t xml:space="preserve"> края</w:t>
      </w:r>
      <w:r w:rsidR="00382B60">
        <w:rPr>
          <w:rFonts w:ascii="Times New Roman" w:hAnsi="Times New Roman" w:cs="Times New Roman"/>
          <w:sz w:val="28"/>
          <w:szCs w:val="28"/>
        </w:rPr>
        <w:t>:</w:t>
      </w:r>
    </w:p>
    <w:p w14:paraId="2945B0F5" w14:textId="77777777" w:rsidR="00382B60" w:rsidRDefault="00BC05BF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60">
        <w:rPr>
          <w:rFonts w:ascii="Times New Roman" w:hAnsi="Times New Roman" w:cs="Times New Roman"/>
          <w:sz w:val="28"/>
          <w:szCs w:val="28"/>
        </w:rPr>
        <w:t xml:space="preserve">рассматривает обращения </w:t>
      </w:r>
      <w:r w:rsidR="009E0755">
        <w:rPr>
          <w:rFonts w:ascii="Times New Roman" w:hAnsi="Times New Roman" w:cs="Times New Roman"/>
          <w:sz w:val="28"/>
          <w:szCs w:val="28"/>
        </w:rPr>
        <w:t>инициаторов инвестиционных проектов</w:t>
      </w:r>
      <w:r w:rsidR="009E0755" w:rsidRPr="00382B60">
        <w:rPr>
          <w:rFonts w:ascii="Times New Roman" w:hAnsi="Times New Roman" w:cs="Times New Roman"/>
          <w:sz w:val="28"/>
          <w:szCs w:val="28"/>
        </w:rPr>
        <w:t xml:space="preserve"> </w:t>
      </w:r>
      <w:r w:rsidRPr="00382B60">
        <w:rPr>
          <w:rFonts w:ascii="Times New Roman" w:hAnsi="Times New Roman" w:cs="Times New Roman"/>
          <w:sz w:val="28"/>
          <w:szCs w:val="28"/>
        </w:rPr>
        <w:t xml:space="preserve">по вопросам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82B60">
        <w:rPr>
          <w:rFonts w:ascii="Times New Roman" w:hAnsi="Times New Roman" w:cs="Times New Roman"/>
          <w:sz w:val="28"/>
          <w:szCs w:val="28"/>
        </w:rPr>
        <w:t xml:space="preserve">и назначает менеджера проекта из числа сотрудников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382B60">
        <w:rPr>
          <w:rFonts w:ascii="Times New Roman" w:hAnsi="Times New Roman" w:cs="Times New Roman"/>
          <w:sz w:val="28"/>
          <w:szCs w:val="28"/>
        </w:rPr>
        <w:t xml:space="preserve"> по каждому инвестиционному проекту;</w:t>
      </w:r>
    </w:p>
    <w:p w14:paraId="71A27F91" w14:textId="77777777" w:rsidR="00BC05BF" w:rsidRDefault="00BC05BF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представляет по обращению </w:t>
      </w:r>
      <w:r w:rsidR="009E0755">
        <w:rPr>
          <w:rFonts w:ascii="Times New Roman" w:hAnsi="Times New Roman" w:cs="Times New Roman"/>
          <w:sz w:val="28"/>
          <w:szCs w:val="28"/>
        </w:rPr>
        <w:t>инициаторов инвестиционных проектов</w:t>
      </w:r>
      <w:r w:rsidRPr="009A7067">
        <w:rPr>
          <w:rFonts w:ascii="Times New Roman" w:hAnsi="Times New Roman" w:cs="Times New Roman"/>
          <w:sz w:val="28"/>
          <w:szCs w:val="28"/>
        </w:rPr>
        <w:t xml:space="preserve">, заинтересованных в реализации инвестиционных проектов на территории </w:t>
      </w:r>
      <w:r w:rsidR="001D78CC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края, информацию, связанную с осуществлением инвестиционной деятельности на территории </w:t>
      </w:r>
      <w:r w:rsidR="001D78CC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 (за исключением сведений, составляющих государственную и иную охраняемую законом тайну), в том числе о возможных мерах государственной поддержки, предусмотренных федеральным законодательством и законодательством </w:t>
      </w:r>
      <w:r w:rsidR="001D78CC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края;</w:t>
      </w:r>
    </w:p>
    <w:p w14:paraId="0204D258" w14:textId="77777777" w:rsidR="009E0755" w:rsidRPr="00313087" w:rsidRDefault="009E0755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87">
        <w:rPr>
          <w:rFonts w:ascii="Times New Roman" w:hAnsi="Times New Roman" w:cs="Times New Roman"/>
          <w:sz w:val="28"/>
          <w:szCs w:val="28"/>
        </w:rPr>
        <w:t>содействует организации взаимодействия инициаторов инвестиционных проектов по вопросам реализации инвестиционных проектов с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</w:t>
      </w:r>
      <w:r w:rsidR="003F796B">
        <w:rPr>
          <w:rFonts w:ascii="Times New Roman" w:hAnsi="Times New Roman" w:cs="Times New Roman"/>
          <w:sz w:val="28"/>
          <w:szCs w:val="28"/>
        </w:rPr>
        <w:t>, в том числе, при необходимости, инициирует проведение рабочих встреч в целях решения проблемных вопросов, возникающих при реализации сопровождаемых инвестиционных проектов</w:t>
      </w:r>
      <w:r w:rsidRPr="00313087">
        <w:rPr>
          <w:rFonts w:ascii="Times New Roman" w:hAnsi="Times New Roman" w:cs="Times New Roman"/>
          <w:sz w:val="28"/>
          <w:szCs w:val="28"/>
        </w:rPr>
        <w:t>;</w:t>
      </w:r>
    </w:p>
    <w:p w14:paraId="0E062668" w14:textId="77777777" w:rsidR="009E0755" w:rsidRPr="009A7067" w:rsidRDefault="009E0755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FD2F39">
        <w:rPr>
          <w:rFonts w:ascii="Times New Roman" w:hAnsi="Times New Roman" w:cs="Times New Roman"/>
          <w:sz w:val="28"/>
          <w:szCs w:val="28"/>
        </w:rPr>
        <w:t>инициаторам инвестиционных проектов</w:t>
      </w:r>
      <w:r w:rsidRPr="009A7067"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 содействие в участии инвестиционных проектов на международных, общероссийских и региональных выставках, </w:t>
      </w:r>
      <w:r w:rsidR="0015032E">
        <w:rPr>
          <w:rFonts w:ascii="Times New Roman" w:hAnsi="Times New Roman" w:cs="Times New Roman"/>
          <w:sz w:val="28"/>
          <w:szCs w:val="28"/>
        </w:rPr>
        <w:t>продвижении продукции на экспорт; осуществляет</w:t>
      </w:r>
      <w:r w:rsidR="0015032E"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Pr="009A7067">
        <w:rPr>
          <w:rFonts w:ascii="Times New Roman" w:hAnsi="Times New Roman" w:cs="Times New Roman"/>
          <w:sz w:val="28"/>
          <w:szCs w:val="28"/>
        </w:rPr>
        <w:t>информирование инвесторов о планируемых выставках и иных аналогичных мероприятиях;</w:t>
      </w:r>
    </w:p>
    <w:p w14:paraId="1CFC0C3F" w14:textId="4255CF45" w:rsidR="009E0755" w:rsidRPr="009A7067" w:rsidRDefault="009E0755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содействие </w:t>
      </w:r>
      <w:r w:rsidRPr="009A7067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9A706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об инвестиционных проектах, реализуемых и (или) планируемых к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 на Инвестиционном портале;</w:t>
      </w:r>
    </w:p>
    <w:p w14:paraId="0C6E9AAA" w14:textId="77777777" w:rsidR="009E0755" w:rsidRDefault="009E0755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FD2F39">
        <w:rPr>
          <w:rFonts w:ascii="Times New Roman" w:hAnsi="Times New Roman" w:cs="Times New Roman"/>
          <w:sz w:val="28"/>
          <w:szCs w:val="28"/>
        </w:rPr>
        <w:t>инициатором инвестиционн</w:t>
      </w:r>
      <w:r w:rsidR="00F364AC">
        <w:rPr>
          <w:rFonts w:ascii="Times New Roman" w:hAnsi="Times New Roman" w:cs="Times New Roman"/>
          <w:sz w:val="28"/>
          <w:szCs w:val="28"/>
        </w:rPr>
        <w:t>ого</w:t>
      </w:r>
      <w:r w:rsidR="00FD2F3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64AC">
        <w:rPr>
          <w:rFonts w:ascii="Times New Roman" w:hAnsi="Times New Roman" w:cs="Times New Roman"/>
          <w:sz w:val="28"/>
          <w:szCs w:val="28"/>
        </w:rPr>
        <w:t xml:space="preserve">а </w:t>
      </w:r>
      <w:r w:rsidRPr="009A7067">
        <w:rPr>
          <w:rFonts w:ascii="Times New Roman" w:hAnsi="Times New Roman" w:cs="Times New Roman"/>
          <w:sz w:val="28"/>
          <w:szCs w:val="28"/>
        </w:rPr>
        <w:t xml:space="preserve">проводит презентацию инвестиционного проекта на заседании </w:t>
      </w:r>
      <w:r>
        <w:rPr>
          <w:rFonts w:ascii="Times New Roman" w:hAnsi="Times New Roman" w:cs="Times New Roman"/>
          <w:sz w:val="28"/>
          <w:szCs w:val="28"/>
        </w:rPr>
        <w:t>Инвестиционного совета в Камчатском крае (в случае необходимости получения мер поддержки, порядком предоставления которых предусмотрено рассмотрение проекта на Инвестиционном совете в Камчатском крае)</w:t>
      </w:r>
      <w:r w:rsidRPr="009A7067">
        <w:rPr>
          <w:rFonts w:ascii="Times New Roman" w:hAnsi="Times New Roman" w:cs="Times New Roman"/>
          <w:sz w:val="28"/>
          <w:szCs w:val="28"/>
        </w:rPr>
        <w:t>;</w:t>
      </w:r>
    </w:p>
    <w:p w14:paraId="0A303411" w14:textId="77777777" w:rsidR="009E0755" w:rsidRPr="00313087" w:rsidRDefault="009E0755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87">
        <w:rPr>
          <w:rFonts w:ascii="Times New Roman" w:hAnsi="Times New Roman" w:cs="Times New Roman"/>
          <w:sz w:val="28"/>
          <w:szCs w:val="28"/>
        </w:rPr>
        <w:t>консультирует инициаторов инвестиционных проектов по вопросам получения исходно-разрешительной документации и по необходимым согласительным процедурам;</w:t>
      </w:r>
    </w:p>
    <w:p w14:paraId="764A2E83" w14:textId="77777777" w:rsidR="009E0755" w:rsidRDefault="009E0755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87">
        <w:rPr>
          <w:rFonts w:ascii="Times New Roman" w:hAnsi="Times New Roman" w:cs="Times New Roman"/>
          <w:sz w:val="28"/>
          <w:szCs w:val="28"/>
        </w:rPr>
        <w:t>осуществляет мониторинг сроков прохождения согласительных и разрешительных процедур</w:t>
      </w:r>
      <w:r w:rsidR="00FD2F39">
        <w:rPr>
          <w:rFonts w:ascii="Times New Roman" w:hAnsi="Times New Roman" w:cs="Times New Roman"/>
          <w:sz w:val="28"/>
          <w:szCs w:val="28"/>
        </w:rPr>
        <w:t>,</w:t>
      </w:r>
      <w:r w:rsidRPr="0031308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E75C97" w14:textId="77777777" w:rsidR="009E0755" w:rsidRDefault="009E0755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поддержку при оформлении заявок на получение финансирования из региональных и федеральных институтов развития, </w:t>
      </w:r>
      <w:r w:rsidR="008C596C">
        <w:rPr>
          <w:rFonts w:ascii="Times New Roman" w:hAnsi="Times New Roman" w:cs="Times New Roman"/>
          <w:sz w:val="28"/>
          <w:szCs w:val="28"/>
        </w:rPr>
        <w:t xml:space="preserve">кредитных учреждений, </w:t>
      </w:r>
      <w:r>
        <w:rPr>
          <w:rFonts w:ascii="Times New Roman" w:hAnsi="Times New Roman" w:cs="Times New Roman"/>
          <w:sz w:val="28"/>
          <w:szCs w:val="28"/>
        </w:rPr>
        <w:t>а также при оформлении заявок на получение иных форм государственной поддержки субъектам инвестиционной деятельности, предоставляемой в Камчатском крае;</w:t>
      </w:r>
    </w:p>
    <w:p w14:paraId="44D7D037" w14:textId="77777777" w:rsidR="00231D23" w:rsidRDefault="00231D23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23">
        <w:rPr>
          <w:rFonts w:ascii="Times New Roman" w:hAnsi="Times New Roman" w:cs="Times New Roman"/>
          <w:sz w:val="28"/>
          <w:szCs w:val="28"/>
        </w:rPr>
        <w:t>формирует Реестр инвестиционных проектов, реализуемых и (или) планируемых к реализации на территории Камчатского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3087">
        <w:rPr>
          <w:rFonts w:ascii="Times New Roman" w:hAnsi="Times New Roman" w:cs="Times New Roman"/>
          <w:sz w:val="28"/>
          <w:szCs w:val="28"/>
        </w:rPr>
        <w:t>;</w:t>
      </w:r>
    </w:p>
    <w:p w14:paraId="265BB323" w14:textId="01B9A653" w:rsidR="00673925" w:rsidRDefault="00673925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</w:t>
      </w:r>
      <w:r w:rsidR="00FD2F39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участию инициаторов инвестиционных проектов в региональных, федеральных и международных программах развития предпринимательства;</w:t>
      </w:r>
    </w:p>
    <w:p w14:paraId="4A2E78D2" w14:textId="1EC66A5B" w:rsidR="0009522D" w:rsidRDefault="0009522D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привл</w:t>
      </w:r>
      <w:r w:rsidR="001F2D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</w:t>
      </w:r>
      <w:r w:rsidR="001F2DFD">
        <w:rPr>
          <w:rFonts w:ascii="Times New Roman" w:hAnsi="Times New Roman" w:cs="Times New Roman"/>
          <w:sz w:val="28"/>
          <w:szCs w:val="28"/>
        </w:rPr>
        <w:t>ию</w:t>
      </w:r>
      <w:r w:rsidR="001F2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DFD">
        <w:rPr>
          <w:rFonts w:ascii="Times New Roman" w:hAnsi="Times New Roman" w:cs="Times New Roman"/>
          <w:sz w:val="28"/>
          <w:szCs w:val="28"/>
        </w:rPr>
        <w:t>внебюджетного финансирования;</w:t>
      </w:r>
    </w:p>
    <w:p w14:paraId="26F4016F" w14:textId="77777777" w:rsidR="00313087" w:rsidRDefault="00313087" w:rsidP="006E0862">
      <w:pPr>
        <w:pStyle w:val="a3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79E7D03E" w14:textId="77777777" w:rsidR="009A7067" w:rsidRPr="009A7067" w:rsidRDefault="009341F8" w:rsidP="006E086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органы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иные и</w:t>
      </w:r>
      <w:r w:rsidRPr="009A7067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06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9A7067" w:rsidRPr="009A7067">
        <w:rPr>
          <w:rFonts w:ascii="Times New Roman" w:hAnsi="Times New Roman" w:cs="Times New Roman"/>
          <w:sz w:val="28"/>
          <w:szCs w:val="28"/>
        </w:rPr>
        <w:t>обеспечивающие предоставление предусмотренных действующим законодательством мер государственной поддержки инвестиционной деятельности:</w:t>
      </w:r>
    </w:p>
    <w:p w14:paraId="4D2CE152" w14:textId="6E8DFA52" w:rsidR="007823CC" w:rsidRDefault="007823CC" w:rsidP="006E0862">
      <w:pPr>
        <w:pStyle w:val="a3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заключение на инвестиционный проект в соответствии с </w:t>
      </w:r>
      <w:r w:rsidR="00382426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09522D">
        <w:rPr>
          <w:rFonts w:ascii="Times New Roman" w:hAnsi="Times New Roman" w:cs="Times New Roman"/>
          <w:sz w:val="28"/>
          <w:szCs w:val="28"/>
        </w:rPr>
        <w:t>част</w:t>
      </w:r>
      <w:r w:rsidR="00382426" w:rsidRPr="0009522D">
        <w:rPr>
          <w:rFonts w:ascii="Times New Roman" w:hAnsi="Times New Roman" w:cs="Times New Roman"/>
          <w:sz w:val="28"/>
          <w:szCs w:val="28"/>
        </w:rPr>
        <w:t>и</w:t>
      </w:r>
      <w:r w:rsidRPr="0009522D">
        <w:rPr>
          <w:rFonts w:ascii="Times New Roman" w:hAnsi="Times New Roman" w:cs="Times New Roman"/>
          <w:sz w:val="28"/>
          <w:szCs w:val="28"/>
        </w:rPr>
        <w:t xml:space="preserve">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382426">
        <w:rPr>
          <w:rFonts w:ascii="Times New Roman" w:hAnsi="Times New Roman" w:cs="Times New Roman"/>
          <w:sz w:val="28"/>
          <w:szCs w:val="28"/>
        </w:rPr>
        <w:t>;</w:t>
      </w:r>
    </w:p>
    <w:p w14:paraId="4DCCD7F0" w14:textId="77777777" w:rsidR="009A7067" w:rsidRPr="009A7067" w:rsidRDefault="009A7067" w:rsidP="006E0862">
      <w:pPr>
        <w:pStyle w:val="a3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осуществляют взаимодействие с</w:t>
      </w:r>
      <w:r w:rsidR="0082201E">
        <w:rPr>
          <w:rFonts w:ascii="Times New Roman" w:hAnsi="Times New Roman" w:cs="Times New Roman"/>
          <w:sz w:val="28"/>
          <w:szCs w:val="28"/>
        </w:rPr>
        <w:t>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82201E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FD2F39">
        <w:rPr>
          <w:rFonts w:ascii="Times New Roman" w:hAnsi="Times New Roman" w:cs="Times New Roman"/>
          <w:sz w:val="28"/>
          <w:szCs w:val="28"/>
        </w:rPr>
        <w:t>в целях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оперативного решения вопросов, возникающих при сопровождении инвестиционных проектов по принципу </w:t>
      </w:r>
      <w:r w:rsidR="00D026E7">
        <w:rPr>
          <w:rFonts w:ascii="Times New Roman" w:hAnsi="Times New Roman" w:cs="Times New Roman"/>
          <w:sz w:val="28"/>
          <w:szCs w:val="28"/>
        </w:rPr>
        <w:t>«</w:t>
      </w:r>
      <w:r w:rsidRPr="009A7067">
        <w:rPr>
          <w:rFonts w:ascii="Times New Roman" w:hAnsi="Times New Roman" w:cs="Times New Roman"/>
          <w:sz w:val="28"/>
          <w:szCs w:val="28"/>
        </w:rPr>
        <w:t>одного окна</w:t>
      </w:r>
      <w:r w:rsidR="00D026E7">
        <w:rPr>
          <w:rFonts w:ascii="Times New Roman" w:hAnsi="Times New Roman" w:cs="Times New Roman"/>
          <w:sz w:val="28"/>
          <w:szCs w:val="28"/>
        </w:rPr>
        <w:t>»</w:t>
      </w:r>
      <w:r w:rsidRPr="009A7067">
        <w:rPr>
          <w:rFonts w:ascii="Times New Roman" w:hAnsi="Times New Roman" w:cs="Times New Roman"/>
          <w:sz w:val="28"/>
          <w:szCs w:val="28"/>
        </w:rPr>
        <w:t>;</w:t>
      </w:r>
    </w:p>
    <w:p w14:paraId="4684E129" w14:textId="77777777" w:rsidR="009A7067" w:rsidRPr="009A7067" w:rsidRDefault="00EA78AC" w:rsidP="006E0862">
      <w:pPr>
        <w:pStyle w:val="a3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82201E">
        <w:rPr>
          <w:rFonts w:ascii="Times New Roman" w:hAnsi="Times New Roman" w:cs="Times New Roman"/>
          <w:sz w:val="28"/>
          <w:szCs w:val="28"/>
        </w:rPr>
        <w:t>специализирова</w:t>
      </w:r>
      <w:r w:rsidR="00FC71B0">
        <w:rPr>
          <w:rFonts w:ascii="Times New Roman" w:hAnsi="Times New Roman" w:cs="Times New Roman"/>
          <w:sz w:val="28"/>
          <w:szCs w:val="28"/>
        </w:rPr>
        <w:t>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инвестиционных проектов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в срок, не превышающий 10 рабочих дней со дня поступления соответствующего запроса;</w:t>
      </w:r>
    </w:p>
    <w:p w14:paraId="72BECCF7" w14:textId="77777777" w:rsidR="009A7067" w:rsidRPr="009A7067" w:rsidRDefault="009A7067" w:rsidP="006E0862">
      <w:pPr>
        <w:pStyle w:val="a3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рассматривают проекты планируемых к заключению инвестиционных соглашений в сфере их деятельности;</w:t>
      </w:r>
    </w:p>
    <w:p w14:paraId="1CCA0F3A" w14:textId="77777777" w:rsidR="009C16D0" w:rsidRDefault="009A7067" w:rsidP="006E0862">
      <w:pPr>
        <w:pStyle w:val="a3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содействуют включению инвестиционных проектов, реализующихся на территории </w:t>
      </w:r>
      <w:r w:rsidR="00FC71B0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края, в государственные программы Российской Федерации и </w:t>
      </w:r>
      <w:r w:rsidR="00FC71B0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</w:t>
      </w:r>
      <w:r w:rsidR="009C16D0">
        <w:rPr>
          <w:rFonts w:ascii="Times New Roman" w:hAnsi="Times New Roman" w:cs="Times New Roman"/>
          <w:sz w:val="28"/>
          <w:szCs w:val="28"/>
        </w:rPr>
        <w:t>;</w:t>
      </w:r>
    </w:p>
    <w:p w14:paraId="0EB6E257" w14:textId="77777777" w:rsidR="009A7067" w:rsidRDefault="009C16D0" w:rsidP="006E0862">
      <w:pPr>
        <w:pStyle w:val="a3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запросу специализированной организации участвуют в рабочих встречах</w:t>
      </w:r>
      <w:r w:rsidR="002E717C">
        <w:rPr>
          <w:rFonts w:ascii="Times New Roman" w:hAnsi="Times New Roman" w:cs="Times New Roman"/>
          <w:sz w:val="28"/>
          <w:szCs w:val="28"/>
        </w:rPr>
        <w:t xml:space="preserve"> в целях решения проблемных вопросов, возникающих при реализации сопровождаемых инвестиционных проектов</w:t>
      </w:r>
      <w:r w:rsidR="009A7067" w:rsidRPr="009A7067">
        <w:rPr>
          <w:rFonts w:ascii="Times New Roman" w:hAnsi="Times New Roman" w:cs="Times New Roman"/>
          <w:sz w:val="28"/>
          <w:szCs w:val="28"/>
        </w:rPr>
        <w:t>.</w:t>
      </w:r>
    </w:p>
    <w:p w14:paraId="1915D4E9" w14:textId="77777777" w:rsidR="005063DE" w:rsidRDefault="001E6FD7" w:rsidP="006E086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эффективной и оперативной работы с </w:t>
      </w:r>
      <w:r w:rsidR="0005352A">
        <w:rPr>
          <w:rFonts w:ascii="Times New Roman" w:hAnsi="Times New Roman" w:cs="Times New Roman"/>
          <w:sz w:val="28"/>
          <w:szCs w:val="28"/>
        </w:rPr>
        <w:t xml:space="preserve">инвестиционными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5352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осуществляется в рамках </w:t>
      </w:r>
      <w:r w:rsidR="00CC5889" w:rsidRPr="006E0862">
        <w:rPr>
          <w:rFonts w:ascii="Times New Roman" w:hAnsi="Times New Roman" w:cs="Times New Roman"/>
          <w:sz w:val="28"/>
          <w:szCs w:val="28"/>
        </w:rPr>
        <w:t>CRM</w:t>
      </w:r>
      <w:r w:rsidR="00CC5889">
        <w:rPr>
          <w:rFonts w:ascii="Times New Roman" w:hAnsi="Times New Roman" w:cs="Times New Roman"/>
          <w:sz w:val="28"/>
          <w:szCs w:val="28"/>
        </w:rPr>
        <w:t>-системы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3DE">
        <w:rPr>
          <w:rFonts w:ascii="Times New Roman" w:hAnsi="Times New Roman" w:cs="Times New Roman"/>
          <w:sz w:val="28"/>
          <w:szCs w:val="28"/>
        </w:rPr>
        <w:t xml:space="preserve"> До дня ввода в действие CRM-системы взаимодействие между участниками сопровождения осуществляется посредством электронной почты и (или) на бумажном носителе, в том числе с использованием системы автоматизированного делопроизводства и электронного документооборота «Дело».</w:t>
      </w:r>
    </w:p>
    <w:p w14:paraId="7595B60C" w14:textId="77777777" w:rsidR="00621CFB" w:rsidRPr="00621CFB" w:rsidRDefault="00621CFB" w:rsidP="006E086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Сопровождение инвестиционного проекта прекращается в следующих случаях:</w:t>
      </w:r>
    </w:p>
    <w:p w14:paraId="0B75EE89" w14:textId="77777777" w:rsidR="00621CFB" w:rsidRDefault="00621CFB" w:rsidP="006E0862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B1">
        <w:rPr>
          <w:rFonts w:ascii="Times New Roman" w:hAnsi="Times New Roman" w:cs="Times New Roman"/>
          <w:sz w:val="28"/>
          <w:szCs w:val="28"/>
        </w:rPr>
        <w:t xml:space="preserve">непредоставления инициатором инвестиционного проекта документов, предусмотренных пунктом 4 части </w:t>
      </w:r>
      <w:r w:rsidR="00AF6A01">
        <w:rPr>
          <w:rFonts w:ascii="Times New Roman" w:hAnsi="Times New Roman" w:cs="Times New Roman"/>
          <w:sz w:val="28"/>
          <w:szCs w:val="28"/>
        </w:rPr>
        <w:t>2.6</w:t>
      </w:r>
      <w:r w:rsidRPr="000727B1">
        <w:rPr>
          <w:rFonts w:ascii="Times New Roman" w:hAnsi="Times New Roman" w:cs="Times New Roman"/>
          <w:sz w:val="28"/>
          <w:szCs w:val="28"/>
        </w:rPr>
        <w:t xml:space="preserve"> настоящего Регламента,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27B1">
        <w:rPr>
          <w:rFonts w:ascii="Times New Roman" w:hAnsi="Times New Roman" w:cs="Times New Roman"/>
          <w:sz w:val="28"/>
          <w:szCs w:val="28"/>
        </w:rPr>
        <w:t xml:space="preserve"> месяцев со дня регистрации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4CC121" w14:textId="77777777" w:rsidR="00621CFB" w:rsidRPr="00621CFB" w:rsidRDefault="00621CFB" w:rsidP="006E0862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lastRenderedPageBreak/>
        <w:t>завершения исполнения всех мероприятий, предусмотренных планом мероприятий по реализации инвестиционного проекта;</w:t>
      </w:r>
    </w:p>
    <w:p w14:paraId="0999F425" w14:textId="77777777" w:rsidR="00621CFB" w:rsidRPr="00621CFB" w:rsidRDefault="00621CFB" w:rsidP="006E0862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отказа инициатора инвестиционного проекта от сопровождения инвестиционного проекта;</w:t>
      </w:r>
    </w:p>
    <w:p w14:paraId="7237EB28" w14:textId="77777777" w:rsidR="00621CFB" w:rsidRPr="003F035D" w:rsidRDefault="00621CFB" w:rsidP="003F035D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превышения инициатором инвестиционного проекта сроков реализации отдельных мероприятий, предусмотренных планом мероприятий по реализации инвестиционного проекта, по которым он выступает ответственным исполнителем, более чем на 90 рабочих дней</w:t>
      </w:r>
      <w:r w:rsidR="003F035D">
        <w:rPr>
          <w:rFonts w:ascii="Times New Roman" w:hAnsi="Times New Roman" w:cs="Times New Roman"/>
          <w:sz w:val="28"/>
          <w:szCs w:val="28"/>
        </w:rPr>
        <w:t xml:space="preserve"> без уважительных причин</w:t>
      </w:r>
      <w:r w:rsidRPr="003F035D">
        <w:rPr>
          <w:rFonts w:ascii="Times New Roman" w:hAnsi="Times New Roman" w:cs="Times New Roman"/>
          <w:sz w:val="28"/>
          <w:szCs w:val="28"/>
        </w:rPr>
        <w:t>;</w:t>
      </w:r>
    </w:p>
    <w:p w14:paraId="664554D1" w14:textId="77777777" w:rsidR="00621CFB" w:rsidRPr="00621CFB" w:rsidRDefault="00621CFB" w:rsidP="006E0862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отказа инициатора инвестиционного проекта от представления информации для подготовки отчета о ходе реализации инвестиционного проекта.</w:t>
      </w:r>
    </w:p>
    <w:p w14:paraId="0CD3B65D" w14:textId="65543E3F" w:rsidR="00CC517E" w:rsidRDefault="007F4208" w:rsidP="006E086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62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ежеквартально не позднее 25 числа месяца, следующего за отчетным кварталом, направляет </w:t>
      </w:r>
      <w:r w:rsidRPr="00D06171">
        <w:rPr>
          <w:rFonts w:ascii="Times New Roman" w:hAnsi="Times New Roman" w:cs="Times New Roman"/>
          <w:sz w:val="28"/>
          <w:szCs w:val="28"/>
        </w:rPr>
        <w:t>в Агентство</w:t>
      </w:r>
      <w:r w:rsidRPr="006E0862">
        <w:rPr>
          <w:rFonts w:ascii="Times New Roman" w:hAnsi="Times New Roman" w:cs="Times New Roman"/>
          <w:sz w:val="28"/>
          <w:szCs w:val="28"/>
        </w:rPr>
        <w:t xml:space="preserve"> </w:t>
      </w:r>
      <w:r w:rsidR="00D06171">
        <w:rPr>
          <w:rFonts w:ascii="Times New Roman" w:hAnsi="Times New Roman" w:cs="Times New Roman"/>
          <w:sz w:val="28"/>
          <w:szCs w:val="28"/>
        </w:rPr>
        <w:t xml:space="preserve">инвестиций и предпринимательства Камчатского края (далее – Агентство) </w:t>
      </w:r>
      <w:r w:rsidRPr="006E086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21CFB" w:rsidRPr="006E0862">
        <w:rPr>
          <w:rFonts w:ascii="Times New Roman" w:hAnsi="Times New Roman" w:cs="Times New Roman"/>
          <w:sz w:val="28"/>
          <w:szCs w:val="28"/>
        </w:rPr>
        <w:t>о</w:t>
      </w:r>
      <w:r w:rsidR="00F95933" w:rsidRPr="006E0862">
        <w:rPr>
          <w:rFonts w:ascii="Times New Roman" w:hAnsi="Times New Roman" w:cs="Times New Roman"/>
          <w:sz w:val="28"/>
          <w:szCs w:val="28"/>
        </w:rPr>
        <w:t>б оказанных инициаторам инвестиционных проектов консультационных услугах, о</w:t>
      </w:r>
      <w:r w:rsidR="00621CFB" w:rsidRPr="006E0862">
        <w:rPr>
          <w:rFonts w:ascii="Times New Roman" w:hAnsi="Times New Roman" w:cs="Times New Roman"/>
          <w:sz w:val="28"/>
          <w:szCs w:val="28"/>
        </w:rPr>
        <w:t xml:space="preserve"> ходе реализации инвестиционных проектов, а также информацию о мероприятиях, осуществленных по сопровождению инвестиционных проектов </w:t>
      </w:r>
      <w:r w:rsidRPr="006E0862">
        <w:rPr>
          <w:rFonts w:ascii="Times New Roman" w:hAnsi="Times New Roman" w:cs="Times New Roman"/>
          <w:sz w:val="28"/>
          <w:szCs w:val="28"/>
        </w:rPr>
        <w:t>по форме, установленной правовым актом Агентства.</w:t>
      </w:r>
      <w:r w:rsidR="00CC517E" w:rsidRPr="006E0862">
        <w:rPr>
          <w:rFonts w:ascii="Times New Roman" w:hAnsi="Times New Roman" w:cs="Times New Roman"/>
          <w:sz w:val="28"/>
          <w:szCs w:val="28"/>
        </w:rPr>
        <w:br w:type="page"/>
      </w:r>
    </w:p>
    <w:p w14:paraId="3107B87F" w14:textId="77777777" w:rsidR="00777483" w:rsidRDefault="00777483" w:rsidP="0077748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lastRenderedPageBreak/>
        <w:t>Приложение 1 к Регламенту сопровождения инвестиционных проектов по принципу «одного окна» в Камчатском крае</w:t>
      </w:r>
    </w:p>
    <w:p w14:paraId="103DA825" w14:textId="77777777" w:rsidR="00777483" w:rsidRDefault="00777483" w:rsidP="0077748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8685C46" w14:textId="77777777" w:rsidR="00777483" w:rsidRPr="00777483" w:rsidRDefault="00777483" w:rsidP="0077748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7483">
        <w:rPr>
          <w:rFonts w:ascii="Times New Roman" w:hAnsi="Times New Roman" w:cs="Times New Roman"/>
          <w:sz w:val="28"/>
          <w:szCs w:val="28"/>
        </w:rPr>
        <w:t>труктура бизнес-плана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483">
        <w:rPr>
          <w:rFonts w:ascii="Times New Roman" w:hAnsi="Times New Roman" w:cs="Times New Roman"/>
          <w:sz w:val="28"/>
          <w:szCs w:val="28"/>
        </w:rPr>
        <w:t>проекта, реализуемого и (или)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483">
        <w:rPr>
          <w:rFonts w:ascii="Times New Roman" w:hAnsi="Times New Roman" w:cs="Times New Roman"/>
          <w:sz w:val="28"/>
          <w:szCs w:val="28"/>
        </w:rPr>
        <w:t>к реализации в Камчатском крае</w:t>
      </w:r>
    </w:p>
    <w:p w14:paraId="46A8B22F" w14:textId="77777777" w:rsidR="00777483" w:rsidRPr="00777483" w:rsidRDefault="00777483" w:rsidP="007774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C89D39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7483">
        <w:rPr>
          <w:rFonts w:ascii="Times New Roman" w:hAnsi="Times New Roman" w:cs="Times New Roman"/>
          <w:sz w:val="28"/>
          <w:szCs w:val="28"/>
        </w:rPr>
        <w:t>Структура бизнес-плана инвестиционного проекта включает в себя:</w:t>
      </w:r>
    </w:p>
    <w:p w14:paraId="3B447FFB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1) резюме;</w:t>
      </w:r>
    </w:p>
    <w:p w14:paraId="4DEE85B7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2) описание;</w:t>
      </w:r>
    </w:p>
    <w:p w14:paraId="528CACE6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3) информацию об основных участниках;</w:t>
      </w:r>
    </w:p>
    <w:p w14:paraId="79D1D136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4) описание продукта;</w:t>
      </w:r>
    </w:p>
    <w:p w14:paraId="015406C6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5) анализ рынка, для которого предназначена продукция и (или) услуги;</w:t>
      </w:r>
    </w:p>
    <w:p w14:paraId="0F947AAD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6) организационный план;</w:t>
      </w:r>
    </w:p>
    <w:p w14:paraId="4E3300C9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7) план продаж и стратегия маркетинга;</w:t>
      </w:r>
    </w:p>
    <w:p w14:paraId="15B1FE5E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8) план производства (эксплуатации);</w:t>
      </w:r>
    </w:p>
    <w:p w14:paraId="68782820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9) анализ ресурсов;</w:t>
      </w:r>
    </w:p>
    <w:p w14:paraId="64A83481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10) анализ воздействия на окружающую среду;</w:t>
      </w:r>
    </w:p>
    <w:p w14:paraId="23F333BF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11) финансовый план;</w:t>
      </w:r>
    </w:p>
    <w:p w14:paraId="4414FC08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12) план финансирования;</w:t>
      </w:r>
    </w:p>
    <w:p w14:paraId="741589FB" w14:textId="77777777" w:rsidR="00777483" w:rsidRPr="00777483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13) анализ рисков;</w:t>
      </w:r>
    </w:p>
    <w:p w14:paraId="795B6288" w14:textId="77777777" w:rsidR="00B0332A" w:rsidRDefault="00777483" w:rsidP="00777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3">
        <w:rPr>
          <w:rFonts w:ascii="Times New Roman" w:hAnsi="Times New Roman" w:cs="Times New Roman"/>
          <w:sz w:val="28"/>
          <w:szCs w:val="28"/>
        </w:rPr>
        <w:t>14) приложения.</w:t>
      </w:r>
    </w:p>
    <w:p w14:paraId="41E00174" w14:textId="77777777" w:rsidR="00B0332A" w:rsidRDefault="00B0332A" w:rsidP="00B033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A49755" w14:textId="77777777" w:rsidR="00EA78AC" w:rsidRDefault="00EA78AC" w:rsidP="008B6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A78AC" w:rsidSect="003A21B5">
          <w:pgSz w:w="11905" w:h="16838"/>
          <w:pgMar w:top="1134" w:right="851" w:bottom="1134" w:left="1701" w:header="0" w:footer="0" w:gutter="0"/>
          <w:cols w:space="720"/>
        </w:sectPr>
      </w:pPr>
    </w:p>
    <w:p w14:paraId="4A4E69B3" w14:textId="77777777" w:rsidR="00EA78AC" w:rsidRPr="003013EE" w:rsidRDefault="00EA78AC" w:rsidP="008B6FB8">
      <w:pPr>
        <w:pStyle w:val="ConsPlusNormal"/>
        <w:ind w:left="110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13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7483">
        <w:rPr>
          <w:rFonts w:ascii="Times New Roman" w:hAnsi="Times New Roman" w:cs="Times New Roman"/>
          <w:sz w:val="28"/>
          <w:szCs w:val="28"/>
        </w:rPr>
        <w:t>2</w:t>
      </w:r>
      <w:r w:rsidR="008B6FB8">
        <w:rPr>
          <w:rFonts w:ascii="Times New Roman" w:hAnsi="Times New Roman" w:cs="Times New Roman"/>
          <w:sz w:val="28"/>
          <w:szCs w:val="28"/>
        </w:rPr>
        <w:t xml:space="preserve"> </w:t>
      </w:r>
      <w:r w:rsidRPr="003013EE">
        <w:rPr>
          <w:rFonts w:ascii="Times New Roman" w:hAnsi="Times New Roman" w:cs="Times New Roman"/>
          <w:sz w:val="28"/>
          <w:szCs w:val="28"/>
        </w:rPr>
        <w:t xml:space="preserve">к </w:t>
      </w:r>
      <w:r w:rsidR="008B6FB8">
        <w:rPr>
          <w:rFonts w:ascii="Times New Roman" w:hAnsi="Times New Roman" w:cs="Times New Roman"/>
          <w:sz w:val="28"/>
          <w:szCs w:val="28"/>
        </w:rPr>
        <w:t>Р</w:t>
      </w:r>
      <w:r w:rsidR="008B6FB8" w:rsidRPr="008B6FB8">
        <w:rPr>
          <w:rFonts w:ascii="Times New Roman" w:hAnsi="Times New Roman" w:cs="Times New Roman"/>
          <w:sz w:val="28"/>
          <w:szCs w:val="28"/>
        </w:rPr>
        <w:t>егламент</w:t>
      </w:r>
      <w:r w:rsidR="008B6FB8">
        <w:rPr>
          <w:rFonts w:ascii="Times New Roman" w:hAnsi="Times New Roman" w:cs="Times New Roman"/>
          <w:sz w:val="28"/>
          <w:szCs w:val="28"/>
        </w:rPr>
        <w:t>у сопровождения инве</w:t>
      </w:r>
      <w:r w:rsidR="008B6FB8" w:rsidRPr="008B6FB8">
        <w:rPr>
          <w:rFonts w:ascii="Times New Roman" w:hAnsi="Times New Roman" w:cs="Times New Roman"/>
          <w:sz w:val="28"/>
          <w:szCs w:val="28"/>
        </w:rPr>
        <w:t>стиционных проектов по принципу «одного окна» в Камчатском крае</w:t>
      </w:r>
    </w:p>
    <w:p w14:paraId="3D39DF5B" w14:textId="77777777" w:rsidR="00EA78AC" w:rsidRPr="008B6FB8" w:rsidRDefault="008B6FB8" w:rsidP="008B6F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0"/>
      <w:bookmarkEnd w:id="1"/>
      <w:r w:rsidRPr="008B6FB8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14:paraId="703A6C0A" w14:textId="77777777" w:rsidR="00EA78AC" w:rsidRPr="008B6FB8" w:rsidRDefault="008B6FB8" w:rsidP="008B6F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FB8">
        <w:rPr>
          <w:rFonts w:ascii="Times New Roman" w:hAnsi="Times New Roman" w:cs="Times New Roman"/>
          <w:b w:val="0"/>
          <w:sz w:val="28"/>
          <w:szCs w:val="28"/>
        </w:rPr>
        <w:t>исполнительных органов государственной власти</w:t>
      </w:r>
    </w:p>
    <w:p w14:paraId="0C4FAE80" w14:textId="77777777" w:rsidR="00EA78AC" w:rsidRPr="008B6FB8" w:rsidRDefault="008B6FB8" w:rsidP="008B6F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FB8">
        <w:rPr>
          <w:rFonts w:ascii="Times New Roman" w:hAnsi="Times New Roman" w:cs="Times New Roman"/>
          <w:b w:val="0"/>
          <w:sz w:val="28"/>
          <w:szCs w:val="28"/>
        </w:rPr>
        <w:t>Камчатского края на инвестиционный проект</w:t>
      </w:r>
    </w:p>
    <w:p w14:paraId="67E62982" w14:textId="77777777" w:rsidR="00EA78AC" w:rsidRPr="008B6FB8" w:rsidRDefault="00EA78AC" w:rsidP="00EA78AC">
      <w:pPr>
        <w:pStyle w:val="ConsPlusNormal"/>
        <w:ind w:left="96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0206"/>
      </w:tblGrid>
      <w:tr w:rsidR="00EA78AC" w:rsidRPr="003013EE" w14:paraId="7A60E78E" w14:textId="77777777" w:rsidTr="004368B4">
        <w:tc>
          <w:tcPr>
            <w:tcW w:w="624" w:type="dxa"/>
            <w:vAlign w:val="center"/>
          </w:tcPr>
          <w:p w14:paraId="03D3453C" w14:textId="77777777" w:rsidR="00EA78AC" w:rsidRPr="003013EE" w:rsidRDefault="008B6FB8" w:rsidP="00436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B13BC94" w14:textId="77777777" w:rsidR="00EA78AC" w:rsidRPr="003013EE" w:rsidRDefault="00EA78AC" w:rsidP="00436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12" w:type="dxa"/>
            <w:vAlign w:val="center"/>
          </w:tcPr>
          <w:p w14:paraId="1F3652EF" w14:textId="77777777" w:rsidR="00EA78AC" w:rsidRPr="003013EE" w:rsidRDefault="00EA78AC" w:rsidP="00436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Камчатского края</w:t>
            </w:r>
          </w:p>
        </w:tc>
        <w:tc>
          <w:tcPr>
            <w:tcW w:w="10206" w:type="dxa"/>
            <w:vAlign w:val="center"/>
          </w:tcPr>
          <w:p w14:paraId="02185426" w14:textId="77777777" w:rsidR="00EA78AC" w:rsidRPr="003013EE" w:rsidRDefault="00EA78AC" w:rsidP="00436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Содержание заключения на инвестиционный проект</w:t>
            </w:r>
          </w:p>
        </w:tc>
      </w:tr>
      <w:tr w:rsidR="00EA78AC" w:rsidRPr="003013EE" w14:paraId="12BB12BB" w14:textId="77777777" w:rsidTr="004368B4">
        <w:tc>
          <w:tcPr>
            <w:tcW w:w="624" w:type="dxa"/>
          </w:tcPr>
          <w:p w14:paraId="72A023CD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14:paraId="048A71ED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  <w:tc>
          <w:tcPr>
            <w:tcW w:w="10206" w:type="dxa"/>
          </w:tcPr>
          <w:p w14:paraId="4E414DB7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1. Возможность финансирования инвестиционного проекта за счет средств краевого бюджета (при наличии соответствующего предложения от исполнительного органа государственной власти Камчатского края).</w:t>
            </w:r>
          </w:p>
          <w:p w14:paraId="3A4F3D4C" w14:textId="77777777" w:rsidR="008B6FB8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2. Бюджетная, социальная, финансовая эффективность</w:t>
            </w:r>
            <w:r w:rsidR="008B6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EF61F5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3. Экспортный потенциал инвестиционного проекта (при необходимости).</w:t>
            </w:r>
          </w:p>
          <w:p w14:paraId="568DA335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4. Возможность по привлечению иностранных инвестиций.</w:t>
            </w:r>
          </w:p>
        </w:tc>
      </w:tr>
      <w:tr w:rsidR="00EA78AC" w:rsidRPr="003013EE" w14:paraId="77537035" w14:textId="77777777" w:rsidTr="004368B4">
        <w:tc>
          <w:tcPr>
            <w:tcW w:w="624" w:type="dxa"/>
          </w:tcPr>
          <w:p w14:paraId="2DCA47AF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</w:tcPr>
          <w:p w14:paraId="442CBD72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0206" w:type="dxa"/>
          </w:tcPr>
          <w:p w14:paraId="036C9316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для реализации инвестиционного проекта земельных участков, находящихся в государственной собственности субъекта Российской Федерации </w:t>
            </w:r>
            <w:r w:rsidR="008B6F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края.</w:t>
            </w:r>
          </w:p>
        </w:tc>
      </w:tr>
      <w:tr w:rsidR="00EA78AC" w:rsidRPr="003013EE" w14:paraId="764FEBEF" w14:textId="77777777" w:rsidTr="004368B4">
        <w:tc>
          <w:tcPr>
            <w:tcW w:w="624" w:type="dxa"/>
          </w:tcPr>
          <w:p w14:paraId="57048A74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2" w:type="dxa"/>
          </w:tcPr>
          <w:p w14:paraId="64405EE0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10206" w:type="dxa"/>
          </w:tcPr>
          <w:p w14:paraId="1484B64E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1. Оценка социальной эффективности (значимости) инвестиционного проекта.</w:t>
            </w:r>
          </w:p>
          <w:p w14:paraId="42529CA3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2. Уровень обеспеченности территории объектами социальной инфраструктуры.</w:t>
            </w:r>
          </w:p>
        </w:tc>
      </w:tr>
      <w:tr w:rsidR="00EA78AC" w:rsidRPr="003013EE" w14:paraId="7702AE69" w14:textId="77777777" w:rsidTr="004368B4">
        <w:tc>
          <w:tcPr>
            <w:tcW w:w="624" w:type="dxa"/>
          </w:tcPr>
          <w:p w14:paraId="731B1E0A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2" w:type="dxa"/>
          </w:tcPr>
          <w:p w14:paraId="725C6D53" w14:textId="77777777" w:rsidR="00EA78AC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6C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</w:t>
            </w:r>
            <w:r w:rsidRPr="00D83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дарственной власти Камчатского края в соответствии с отраслевой принадлежностью вида деятельности, указанного в заявке на сопровождение инвестиционного проекта</w:t>
            </w:r>
          </w:p>
          <w:p w14:paraId="5EDB078E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13BDBCEA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Эффективность и инновационность применяемой технологии.</w:t>
            </w:r>
          </w:p>
          <w:p w14:paraId="710506D1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2. Оценка спроса на продукцию.</w:t>
            </w:r>
          </w:p>
          <w:p w14:paraId="68E36766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Возможности по кооперации по формированию кластера.</w:t>
            </w:r>
          </w:p>
        </w:tc>
      </w:tr>
      <w:tr w:rsidR="00EA78AC" w:rsidRPr="003013EE" w14:paraId="3EF6AB38" w14:textId="77777777" w:rsidTr="004368B4">
        <w:tc>
          <w:tcPr>
            <w:tcW w:w="624" w:type="dxa"/>
          </w:tcPr>
          <w:p w14:paraId="3CE9E3BD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12" w:type="dxa"/>
          </w:tcPr>
          <w:p w14:paraId="73D28B38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  <w:tc>
          <w:tcPr>
            <w:tcW w:w="10206" w:type="dxa"/>
          </w:tcPr>
          <w:p w14:paraId="6F33E112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1. Эффективность и инновационность применяемой технологии (для инвестиционных проектов, реализуемых в сфере природопользования и охраны окружающей среды).</w:t>
            </w:r>
          </w:p>
          <w:p w14:paraId="344E67F3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2. Оценка экологических факторов воздействия инвестиционного проекта на окружающую среду (в части оценки технических решений, направленных на устранение или уменьшение загрязнения окружающей среды, применение ресурсосберегающих, малоотходных, безотходных технологий и техники).</w:t>
            </w:r>
          </w:p>
        </w:tc>
      </w:tr>
      <w:tr w:rsidR="00EA78AC" w:rsidRPr="003013EE" w14:paraId="22917A25" w14:textId="77777777" w:rsidTr="004368B4">
        <w:tc>
          <w:tcPr>
            <w:tcW w:w="624" w:type="dxa"/>
          </w:tcPr>
          <w:p w14:paraId="18136A4C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2" w:type="dxa"/>
          </w:tcPr>
          <w:p w14:paraId="3BE1AF1D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0206" w:type="dxa"/>
          </w:tcPr>
          <w:p w14:paraId="5C07CCA4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1. Уровень обеспеченности территории объектами коммунальной инфраструктуры.</w:t>
            </w:r>
          </w:p>
          <w:p w14:paraId="32429901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2. Эффективность и инновационность применяемой технологии (для инвестиционных проектов, реализуемых в сфере коммунального комплекса и энергетики).</w:t>
            </w:r>
          </w:p>
          <w:p w14:paraId="3FF484A5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3. Возможность финансирования инфраструктуры в рамках государственных программ Камчатского края.</w:t>
            </w:r>
          </w:p>
        </w:tc>
      </w:tr>
      <w:tr w:rsidR="00EA78AC" w:rsidRPr="003013EE" w14:paraId="34832EAB" w14:textId="77777777" w:rsidTr="004368B4">
        <w:tc>
          <w:tcPr>
            <w:tcW w:w="624" w:type="dxa"/>
          </w:tcPr>
          <w:p w14:paraId="4207ACDE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2" w:type="dxa"/>
          </w:tcPr>
          <w:p w14:paraId="3B7F88CE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Камчатского края</w:t>
            </w:r>
          </w:p>
        </w:tc>
        <w:tc>
          <w:tcPr>
            <w:tcW w:w="10206" w:type="dxa"/>
          </w:tcPr>
          <w:p w14:paraId="26B01D9B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1. Уровень обеспеченности территории объектами транспортной инфраструктуры.</w:t>
            </w:r>
          </w:p>
          <w:p w14:paraId="4D6C83D2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2. Эффективность и инновационность применяемой технологии (для инвестиционных проектов, реализуемых в сфере транспортного комплекса).</w:t>
            </w:r>
          </w:p>
          <w:p w14:paraId="5709F830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3. Возможность финансирования инфраструктуры в рамках государственных программ Камчатского края.</w:t>
            </w:r>
          </w:p>
        </w:tc>
      </w:tr>
      <w:tr w:rsidR="00EA78AC" w:rsidRPr="003013EE" w14:paraId="3463A78B" w14:textId="77777777" w:rsidTr="004368B4">
        <w:tc>
          <w:tcPr>
            <w:tcW w:w="624" w:type="dxa"/>
          </w:tcPr>
          <w:p w14:paraId="27A218CF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2" w:type="dxa"/>
          </w:tcPr>
          <w:p w14:paraId="109E8A01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Камчатского края</w:t>
            </w:r>
          </w:p>
        </w:tc>
        <w:tc>
          <w:tcPr>
            <w:tcW w:w="10206" w:type="dxa"/>
          </w:tcPr>
          <w:p w14:paraId="2D2102CF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1. Эффективность и инновационность применяемой технологии (для инвестиционных проектов, реализуемых в сфере жилищного строительства).</w:t>
            </w:r>
          </w:p>
          <w:p w14:paraId="66758CBF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Возможности по финансированию инфраструктуры в рамках государственных программ Камчатского края.</w:t>
            </w:r>
          </w:p>
          <w:p w14:paraId="46A57B84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3. Соблюдение требований Градостроительного кодекса Российской Федерации, документов территориального планирования.</w:t>
            </w:r>
          </w:p>
          <w:p w14:paraId="558041A8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4. Оценка достоверности объемов капитальных затрат по инвестиционному проекту.</w:t>
            </w:r>
          </w:p>
        </w:tc>
      </w:tr>
      <w:tr w:rsidR="00EA78AC" w:rsidRPr="003013EE" w14:paraId="14CAC995" w14:textId="77777777" w:rsidTr="004368B4">
        <w:tc>
          <w:tcPr>
            <w:tcW w:w="624" w:type="dxa"/>
          </w:tcPr>
          <w:p w14:paraId="6E1F4D58" w14:textId="77777777" w:rsidR="00EA78AC" w:rsidRPr="003013EE" w:rsidRDefault="00EA78AC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12" w:type="dxa"/>
          </w:tcPr>
          <w:p w14:paraId="41E71E9B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10206" w:type="dxa"/>
          </w:tcPr>
          <w:p w14:paraId="5A8E010A" w14:textId="77777777" w:rsidR="00EA78AC" w:rsidRPr="003013EE" w:rsidRDefault="00EA78AC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EE">
              <w:rPr>
                <w:rFonts w:ascii="Times New Roman" w:hAnsi="Times New Roman" w:cs="Times New Roman"/>
                <w:sz w:val="28"/>
                <w:szCs w:val="28"/>
              </w:rPr>
              <w:t>Обеспеченность инвестиционного проекта необходимыми трудовыми ресурсами (текущая и прогнозная).</w:t>
            </w:r>
          </w:p>
        </w:tc>
      </w:tr>
      <w:tr w:rsidR="006321AD" w:rsidRPr="003013EE" w14:paraId="27147D94" w14:textId="77777777" w:rsidTr="004368B4">
        <w:tc>
          <w:tcPr>
            <w:tcW w:w="624" w:type="dxa"/>
          </w:tcPr>
          <w:p w14:paraId="42A410A7" w14:textId="77777777" w:rsidR="006321AD" w:rsidRPr="003013EE" w:rsidRDefault="006321AD" w:rsidP="00436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912" w:type="dxa"/>
          </w:tcPr>
          <w:p w14:paraId="2B1FA100" w14:textId="77777777" w:rsidR="006321AD" w:rsidRPr="003013EE" w:rsidRDefault="006321AD" w:rsidP="00436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приоритетных проектов развития Камчатского края</w:t>
            </w:r>
          </w:p>
        </w:tc>
        <w:tc>
          <w:tcPr>
            <w:tcW w:w="10206" w:type="dxa"/>
          </w:tcPr>
          <w:p w14:paraId="777037AA" w14:textId="77777777" w:rsidR="006321AD" w:rsidRPr="003013EE" w:rsidRDefault="006321AD" w:rsidP="00632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присвоения статуса резидента территории опережающего развития «Камчатка», Свободного порта Владивосток</w:t>
            </w:r>
            <w:r w:rsidR="0078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8226451" w14:textId="77777777" w:rsidR="006321AD" w:rsidRDefault="006321AD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6F5131" w14:textId="77777777" w:rsidR="008B6FB8" w:rsidRDefault="006321AD" w:rsidP="0077748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5B8A8F81" w14:textId="77777777" w:rsidR="006321AD" w:rsidRDefault="006321AD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6321AD" w:rsidSect="00EA78A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DB0255F" w14:textId="77777777" w:rsidR="008B6FB8" w:rsidRDefault="008B6FB8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996A1BA" w14:textId="77777777" w:rsidR="00BD2B0C" w:rsidRDefault="000E0095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14:paraId="42C72BEB" w14:textId="77777777"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14:paraId="6DECBDEB" w14:textId="77777777" w:rsidR="00BD2B0C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3EE1A0" w14:textId="04AB86FE" w:rsidR="00C2193A" w:rsidRDefault="00BD2B0C" w:rsidP="009D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E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5A0F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193A">
        <w:rPr>
          <w:rFonts w:ascii="Times New Roman" w:hAnsi="Times New Roman" w:cs="Times New Roman"/>
          <w:sz w:val="28"/>
          <w:szCs w:val="28"/>
        </w:rPr>
        <w:t xml:space="preserve">законом Камчатского края </w:t>
      </w:r>
      <w:r w:rsidR="00C2193A" w:rsidRPr="00E7705D">
        <w:rPr>
          <w:rFonts w:ascii="Times New Roman" w:hAnsi="Times New Roman" w:cs="Times New Roman"/>
          <w:sz w:val="28"/>
          <w:szCs w:val="28"/>
        </w:rPr>
        <w:t xml:space="preserve">от 22.09.2008 </w:t>
      </w:r>
      <w:r w:rsidR="00C2193A">
        <w:rPr>
          <w:rFonts w:ascii="Times New Roman" w:hAnsi="Times New Roman" w:cs="Times New Roman"/>
          <w:sz w:val="28"/>
          <w:szCs w:val="28"/>
        </w:rPr>
        <w:t>№</w:t>
      </w:r>
      <w:r w:rsidR="00C2193A" w:rsidRPr="00E7705D">
        <w:rPr>
          <w:rFonts w:ascii="Times New Roman" w:hAnsi="Times New Roman" w:cs="Times New Roman"/>
          <w:sz w:val="28"/>
          <w:szCs w:val="28"/>
        </w:rPr>
        <w:t xml:space="preserve"> 129 </w:t>
      </w:r>
      <w:r w:rsidR="00C2193A">
        <w:rPr>
          <w:rFonts w:ascii="Times New Roman" w:hAnsi="Times New Roman" w:cs="Times New Roman"/>
          <w:sz w:val="28"/>
          <w:szCs w:val="28"/>
        </w:rPr>
        <w:t>«</w:t>
      </w:r>
      <w:r w:rsidR="00C2193A" w:rsidRPr="00E7705D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 в Камчатском крае</w:t>
      </w:r>
      <w:r w:rsidR="00C2193A">
        <w:rPr>
          <w:rFonts w:ascii="Times New Roman" w:hAnsi="Times New Roman" w:cs="Times New Roman"/>
          <w:sz w:val="28"/>
          <w:szCs w:val="28"/>
        </w:rPr>
        <w:t>»</w:t>
      </w:r>
      <w:r w:rsidR="009D0CE0">
        <w:rPr>
          <w:rFonts w:ascii="Times New Roman" w:hAnsi="Times New Roman" w:cs="Times New Roman"/>
          <w:sz w:val="28"/>
          <w:szCs w:val="28"/>
        </w:rPr>
        <w:t xml:space="preserve">, </w:t>
      </w:r>
      <w:r w:rsidR="00C2193A" w:rsidRPr="00C2193A">
        <w:rPr>
          <w:rFonts w:ascii="Times New Roman" w:hAnsi="Times New Roman" w:cs="Times New Roman"/>
          <w:sz w:val="28"/>
          <w:szCs w:val="28"/>
        </w:rPr>
        <w:t xml:space="preserve">с учетом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утвержденного Наблюдательным советом автономной некоммерческой организации </w:t>
      </w:r>
      <w:r w:rsidR="00C2193A">
        <w:rPr>
          <w:rFonts w:ascii="Times New Roman" w:hAnsi="Times New Roman" w:cs="Times New Roman"/>
          <w:sz w:val="28"/>
          <w:szCs w:val="28"/>
        </w:rPr>
        <w:t>«</w:t>
      </w:r>
      <w:r w:rsidR="00C2193A" w:rsidRPr="00C2193A">
        <w:rPr>
          <w:rFonts w:ascii="Times New Roman" w:hAnsi="Times New Roman" w:cs="Times New Roman"/>
          <w:sz w:val="28"/>
          <w:szCs w:val="28"/>
        </w:rPr>
        <w:t>Агентство стратегических инициатив</w:t>
      </w:r>
      <w:r w:rsidR="00C2193A">
        <w:rPr>
          <w:rFonts w:ascii="Times New Roman" w:hAnsi="Times New Roman" w:cs="Times New Roman"/>
          <w:sz w:val="28"/>
          <w:szCs w:val="28"/>
        </w:rPr>
        <w:t>»</w:t>
      </w:r>
      <w:r w:rsidR="00C2193A" w:rsidRPr="00C2193A">
        <w:rPr>
          <w:rFonts w:ascii="Times New Roman" w:hAnsi="Times New Roman" w:cs="Times New Roman"/>
          <w:sz w:val="28"/>
          <w:szCs w:val="28"/>
        </w:rPr>
        <w:t xml:space="preserve"> от 3 мая 2012</w:t>
      </w:r>
      <w:r w:rsidR="00D06171">
        <w:rPr>
          <w:rFonts w:ascii="Times New Roman" w:hAnsi="Times New Roman" w:cs="Times New Roman"/>
          <w:sz w:val="28"/>
          <w:szCs w:val="28"/>
        </w:rPr>
        <w:t>,</w:t>
      </w:r>
      <w:r w:rsidR="00C2193A">
        <w:rPr>
          <w:rFonts w:ascii="Times New Roman" w:hAnsi="Times New Roman" w:cs="Times New Roman"/>
          <w:sz w:val="28"/>
          <w:szCs w:val="28"/>
        </w:rPr>
        <w:t xml:space="preserve"> </w:t>
      </w:r>
      <w:r w:rsidR="00D0617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193A" w:rsidRPr="00D06171">
        <w:rPr>
          <w:rFonts w:ascii="Times New Roman" w:hAnsi="Times New Roman" w:cs="Times New Roman"/>
          <w:sz w:val="28"/>
          <w:szCs w:val="28"/>
        </w:rPr>
        <w:t>обеспечения реализации инвестиционных проектов и предоставления государственной поддержки</w:t>
      </w:r>
      <w:r w:rsidR="00C2193A" w:rsidRPr="009A7067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</w:t>
      </w:r>
      <w:r w:rsidR="00C2193A">
        <w:rPr>
          <w:rFonts w:ascii="Times New Roman" w:hAnsi="Times New Roman" w:cs="Times New Roman"/>
          <w:sz w:val="28"/>
          <w:szCs w:val="28"/>
        </w:rPr>
        <w:t>Камчатском</w:t>
      </w:r>
      <w:r w:rsidR="00C2193A" w:rsidRPr="009A7067">
        <w:rPr>
          <w:rFonts w:ascii="Times New Roman" w:hAnsi="Times New Roman" w:cs="Times New Roman"/>
          <w:sz w:val="28"/>
          <w:szCs w:val="28"/>
        </w:rPr>
        <w:t xml:space="preserve"> крае</w:t>
      </w:r>
      <w:r w:rsidR="00187DBD">
        <w:rPr>
          <w:rFonts w:ascii="Times New Roman" w:hAnsi="Times New Roman" w:cs="Times New Roman"/>
          <w:sz w:val="28"/>
          <w:szCs w:val="28"/>
        </w:rPr>
        <w:t>.</w:t>
      </w:r>
    </w:p>
    <w:p w14:paraId="3D627757" w14:textId="77777777" w:rsidR="00022381" w:rsidRPr="00D1117C" w:rsidRDefault="00022381" w:rsidP="0002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7C">
        <w:rPr>
          <w:rFonts w:ascii="Times New Roman" w:hAnsi="Times New Roman" w:cs="Times New Roman"/>
          <w:sz w:val="28"/>
          <w:szCs w:val="28"/>
        </w:rPr>
        <w:t>В целях организации процесса сопровождения по принципу «одного окна», учитывая значительное количество инвестиционных проектов (около 300), в АО «Корпорация развития Камчатки» создается специализированный отдел по сопровождению инвестиционных проектов. Согласно произведенным расчетам, при количестве сотрудников отдела, составляющем 5 человек, потребность в финансировании отдела в 2019 году составит 9890,8 тыс. рублей, из них:</w:t>
      </w:r>
    </w:p>
    <w:p w14:paraId="058911A3" w14:textId="77777777" w:rsidR="005F3CD4" w:rsidRPr="00D1117C" w:rsidRDefault="005F3CD4" w:rsidP="0002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0"/>
        <w:gridCol w:w="1559"/>
      </w:tblGrid>
      <w:tr w:rsidR="00022381" w:rsidRPr="00D1117C" w14:paraId="4DA0514E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4333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CE314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Сумма,</w:t>
            </w:r>
            <w:r w:rsidRPr="00D11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тыс. руб.</w:t>
            </w:r>
          </w:p>
        </w:tc>
      </w:tr>
      <w:tr w:rsidR="00022381" w:rsidRPr="00D1117C" w14:paraId="17E9E760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BEB6A" w14:textId="77777777" w:rsidR="00022381" w:rsidRPr="00D1117C" w:rsidRDefault="00022381" w:rsidP="00BA06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Стартовые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2FF53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</w:tr>
      <w:tr w:rsidR="00022381" w:rsidRPr="00D1117C" w14:paraId="54E3CD5A" w14:textId="77777777" w:rsidTr="00BA06EF">
        <w:trPr>
          <w:trHeight w:val="39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07A6" w14:textId="77777777" w:rsidR="00022381" w:rsidRPr="00D1117C" w:rsidRDefault="00022381" w:rsidP="00BA06EF">
            <w:pPr>
              <w:ind w:firstLine="1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оргтехнику, оборудование, лицензии (100,0 тыс. руб./чел.)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82081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22381" w:rsidRPr="00D1117C" w14:paraId="0B1B4178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9E364" w14:textId="77777777" w:rsidR="00022381" w:rsidRPr="00D1117C" w:rsidRDefault="00022381" w:rsidP="00BA06EF">
            <w:pPr>
              <w:ind w:firstLine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 (30,0 тыс. руб./чел.)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54A2C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022381" w:rsidRPr="00D1117C" w14:paraId="3A12F50B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B5703" w14:textId="77777777" w:rsidR="00022381" w:rsidRPr="00D1117C" w:rsidRDefault="00022381" w:rsidP="00BA06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Операционные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35CD54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9 240,8</w:t>
            </w:r>
          </w:p>
        </w:tc>
      </w:tr>
      <w:tr w:rsidR="00022381" w:rsidRPr="00D1117C" w14:paraId="5B5CC202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858F" w14:textId="77777777" w:rsidR="00022381" w:rsidRPr="00D1117C" w:rsidRDefault="00022381" w:rsidP="00BA06EF">
            <w:pPr>
              <w:ind w:firstLine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37B43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</w:t>
            </w:r>
          </w:p>
        </w:tc>
      </w:tr>
      <w:tr w:rsidR="00022381" w:rsidRPr="00D1117C" w14:paraId="7631DA39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AC8F" w14:textId="77777777" w:rsidR="00022381" w:rsidRPr="00D1117C" w:rsidRDefault="00022381" w:rsidP="00BA06EF">
            <w:pPr>
              <w:ind w:firstLine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Начисления на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797A7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2 332,8</w:t>
            </w:r>
          </w:p>
        </w:tc>
      </w:tr>
      <w:tr w:rsidR="00022381" w:rsidRPr="00D1117C" w14:paraId="6C01E859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C6DF" w14:textId="77777777" w:rsidR="00022381" w:rsidRPr="00D1117C" w:rsidRDefault="00022381" w:rsidP="00BA06EF">
            <w:pPr>
              <w:ind w:firstLine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13571D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</w:tr>
      <w:tr w:rsidR="00022381" w:rsidRPr="00D1117C" w14:paraId="441FC736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B7EFE" w14:textId="77777777" w:rsidR="00022381" w:rsidRPr="00D1117C" w:rsidRDefault="00022381" w:rsidP="00BA06EF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связь (2% от з/п)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3960A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</w:tr>
      <w:tr w:rsidR="00022381" w:rsidRPr="00D1117C" w14:paraId="042DFCF8" w14:textId="77777777" w:rsidTr="00BA06EF">
        <w:trPr>
          <w:trHeight w:val="3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A4AB2" w14:textId="77777777" w:rsidR="00022381" w:rsidRPr="00D1117C" w:rsidRDefault="00022381" w:rsidP="00BA06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Прочие расходы (40,0 тыс. руб./чел.)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04D9A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022381" w:rsidRPr="00D1117C" w14:paraId="298DEB96" w14:textId="77777777" w:rsidTr="00BA06EF">
        <w:trPr>
          <w:trHeight w:val="3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E587C" w14:textId="77777777" w:rsidR="00022381" w:rsidRPr="00D1117C" w:rsidRDefault="00022381" w:rsidP="00BA06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57533" w14:textId="77777777" w:rsidR="00022381" w:rsidRPr="00D1117C" w:rsidRDefault="00022381" w:rsidP="00BA06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9 890,8</w:t>
            </w:r>
          </w:p>
        </w:tc>
      </w:tr>
    </w:tbl>
    <w:p w14:paraId="4493ACF6" w14:textId="77777777" w:rsidR="005F3CD4" w:rsidRPr="00D1117C" w:rsidRDefault="005F3CD4" w:rsidP="0002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F408A" w14:textId="77777777" w:rsidR="00022381" w:rsidRPr="00D1117C" w:rsidRDefault="00022381" w:rsidP="0002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7C">
        <w:rPr>
          <w:rFonts w:ascii="Times New Roman" w:hAnsi="Times New Roman" w:cs="Times New Roman"/>
          <w:sz w:val="28"/>
          <w:szCs w:val="28"/>
        </w:rPr>
        <w:t xml:space="preserve">Финансирование в данном </w:t>
      </w:r>
      <w:r w:rsidR="00D1117C">
        <w:rPr>
          <w:rFonts w:ascii="Times New Roman" w:hAnsi="Times New Roman" w:cs="Times New Roman"/>
          <w:sz w:val="28"/>
          <w:szCs w:val="28"/>
        </w:rPr>
        <w:t>объеме</w:t>
      </w:r>
      <w:r w:rsidRPr="00D1117C">
        <w:rPr>
          <w:rFonts w:ascii="Times New Roman" w:hAnsi="Times New Roman" w:cs="Times New Roman"/>
          <w:sz w:val="28"/>
          <w:szCs w:val="28"/>
        </w:rPr>
        <w:t xml:space="preserve"> согласовано</w:t>
      </w:r>
      <w:r w:rsidR="005F3CD4" w:rsidRPr="00D1117C">
        <w:rPr>
          <w:rFonts w:ascii="Times New Roman" w:hAnsi="Times New Roman" w:cs="Times New Roman"/>
          <w:sz w:val="28"/>
          <w:szCs w:val="28"/>
        </w:rPr>
        <w:t xml:space="preserve"> Губернатором Камчатского края.</w:t>
      </w:r>
    </w:p>
    <w:p w14:paraId="113BF2E9" w14:textId="77777777" w:rsidR="00E62984" w:rsidRPr="00D1117C" w:rsidRDefault="00E62984" w:rsidP="0002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7C">
        <w:rPr>
          <w:rFonts w:ascii="Times New Roman" w:hAnsi="Times New Roman" w:cs="Times New Roman"/>
          <w:sz w:val="28"/>
          <w:szCs w:val="28"/>
        </w:rPr>
        <w:lastRenderedPageBreak/>
        <w:t>На текущий момент на данные цели до Агентства инвестиций и предпринимательства Камчатского края доведено 4 000 000 рублей.</w:t>
      </w:r>
    </w:p>
    <w:p w14:paraId="43E28306" w14:textId="77777777" w:rsidR="00EA78AC" w:rsidRPr="00D1117C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7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 w:rsidR="00187DBD" w:rsidRPr="00D1117C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6D0342" w:rsidRPr="00D1117C">
        <w:rPr>
          <w:rFonts w:ascii="Times New Roman" w:hAnsi="Times New Roman" w:cs="Times New Roman"/>
          <w:sz w:val="28"/>
          <w:szCs w:val="28"/>
        </w:rPr>
        <w:t>средней</w:t>
      </w:r>
      <w:r w:rsidR="00187DBD" w:rsidRPr="00D1117C">
        <w:rPr>
          <w:rFonts w:ascii="Times New Roman" w:hAnsi="Times New Roman" w:cs="Times New Roman"/>
          <w:sz w:val="28"/>
          <w:szCs w:val="28"/>
        </w:rPr>
        <w:t xml:space="preserve"> степенью регулирующего воздействия</w:t>
      </w:r>
      <w:r w:rsidRPr="00D1117C">
        <w:rPr>
          <w:rFonts w:ascii="Times New Roman" w:hAnsi="Times New Roman" w:cs="Times New Roman"/>
          <w:sz w:val="28"/>
          <w:szCs w:val="28"/>
        </w:rPr>
        <w:t>.</w:t>
      </w:r>
      <w:r w:rsidR="00EA78AC" w:rsidRPr="00D1117C">
        <w:rPr>
          <w:rFonts w:ascii="Times New Roman" w:hAnsi="Times New Roman" w:cs="Times New Roman"/>
          <w:sz w:val="28"/>
          <w:szCs w:val="28"/>
        </w:rPr>
        <w:t xml:space="preserve"> В период с 15.02.2019 по 01.03.2019 проведены публичные консультации.</w:t>
      </w:r>
    </w:p>
    <w:p w14:paraId="63C967BA" w14:textId="77777777" w:rsidR="00BD2B0C" w:rsidRPr="00FD51C3" w:rsidRDefault="006D0342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7C">
        <w:rPr>
          <w:rFonts w:ascii="Times New Roman" w:hAnsi="Times New Roman" w:cs="Times New Roman"/>
          <w:sz w:val="28"/>
          <w:szCs w:val="28"/>
        </w:rPr>
        <w:t>________________</w:t>
      </w:r>
      <w:r w:rsidR="000E0095" w:rsidRPr="00D1117C">
        <w:rPr>
          <w:rFonts w:ascii="Times New Roman" w:hAnsi="Times New Roman" w:cs="Times New Roman"/>
          <w:sz w:val="28"/>
          <w:szCs w:val="28"/>
        </w:rPr>
        <w:t xml:space="preserve"> 201</w:t>
      </w:r>
      <w:r w:rsidRPr="00D1117C">
        <w:rPr>
          <w:rFonts w:ascii="Times New Roman" w:hAnsi="Times New Roman" w:cs="Times New Roman"/>
          <w:sz w:val="28"/>
          <w:szCs w:val="28"/>
        </w:rPr>
        <w:t>9</w:t>
      </w:r>
      <w:r w:rsidR="00BD2B0C" w:rsidRPr="00D1117C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Pr="00D1117C">
        <w:rPr>
          <w:rFonts w:ascii="Times New Roman" w:hAnsi="Times New Roman" w:cs="Times New Roman"/>
          <w:sz w:val="28"/>
          <w:szCs w:val="28"/>
        </w:rPr>
        <w:t>_______________</w:t>
      </w:r>
      <w:r w:rsidR="000E0095" w:rsidRPr="00D1117C">
        <w:rPr>
          <w:rFonts w:ascii="Times New Roman" w:hAnsi="Times New Roman" w:cs="Times New Roman"/>
          <w:sz w:val="28"/>
          <w:szCs w:val="28"/>
        </w:rPr>
        <w:t xml:space="preserve"> 201</w:t>
      </w:r>
      <w:r w:rsidRPr="00D1117C">
        <w:rPr>
          <w:rFonts w:ascii="Times New Roman" w:hAnsi="Times New Roman" w:cs="Times New Roman"/>
          <w:sz w:val="28"/>
          <w:szCs w:val="28"/>
        </w:rPr>
        <w:t>9</w:t>
      </w:r>
      <w:r w:rsidR="00BD2B0C" w:rsidRPr="00D1117C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14:paraId="409D2FA6" w14:textId="77777777"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B0C" w:rsidRPr="0028329C" w:rsidSect="008B6F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449E" w14:textId="77777777" w:rsidR="006C4939" w:rsidRDefault="006C4939" w:rsidP="00AD1EF4">
      <w:pPr>
        <w:spacing w:after="0" w:line="240" w:lineRule="auto"/>
      </w:pPr>
      <w:r>
        <w:separator/>
      </w:r>
    </w:p>
  </w:endnote>
  <w:endnote w:type="continuationSeparator" w:id="0">
    <w:p w14:paraId="4EE48D4B" w14:textId="77777777" w:rsidR="006C4939" w:rsidRDefault="006C4939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4DAD" w14:textId="77777777" w:rsidR="006C4939" w:rsidRDefault="006C4939" w:rsidP="00AD1EF4">
      <w:pPr>
        <w:spacing w:after="0" w:line="240" w:lineRule="auto"/>
      </w:pPr>
      <w:r>
        <w:separator/>
      </w:r>
    </w:p>
  </w:footnote>
  <w:footnote w:type="continuationSeparator" w:id="0">
    <w:p w14:paraId="3A813974" w14:textId="77777777" w:rsidR="006C4939" w:rsidRDefault="006C4939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4F2"/>
    <w:multiLevelType w:val="multilevel"/>
    <w:tmpl w:val="2BE4388A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1" w15:restartNumberingAfterBreak="0">
    <w:nsid w:val="1F326F88"/>
    <w:multiLevelType w:val="multilevel"/>
    <w:tmpl w:val="2BE4388A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2" w15:restartNumberingAfterBreak="0">
    <w:nsid w:val="23215726"/>
    <w:multiLevelType w:val="multilevel"/>
    <w:tmpl w:val="2BE4388A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3" w15:restartNumberingAfterBreak="0">
    <w:nsid w:val="233B3B0A"/>
    <w:multiLevelType w:val="multilevel"/>
    <w:tmpl w:val="C736FE40"/>
    <w:lvl w:ilvl="0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4" w15:restartNumberingAfterBreak="0">
    <w:nsid w:val="293216B3"/>
    <w:multiLevelType w:val="multilevel"/>
    <w:tmpl w:val="2BE4388A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5" w15:restartNumberingAfterBreak="0">
    <w:nsid w:val="38F847B0"/>
    <w:multiLevelType w:val="multilevel"/>
    <w:tmpl w:val="2BE4388A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6" w15:restartNumberingAfterBreak="0">
    <w:nsid w:val="397046A2"/>
    <w:multiLevelType w:val="multilevel"/>
    <w:tmpl w:val="2BE4388A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7" w15:restartNumberingAfterBreak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5E12"/>
    <w:multiLevelType w:val="multilevel"/>
    <w:tmpl w:val="D8688EDC"/>
    <w:lvl w:ilvl="0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64" w:hanging="25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9" w15:restartNumberingAfterBreak="0">
    <w:nsid w:val="51EB68F9"/>
    <w:multiLevelType w:val="hybridMultilevel"/>
    <w:tmpl w:val="7976FFE6"/>
    <w:lvl w:ilvl="0" w:tplc="9696718C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BC52D9"/>
    <w:multiLevelType w:val="multilevel"/>
    <w:tmpl w:val="2BE4388A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11" w15:restartNumberingAfterBreak="0">
    <w:nsid w:val="5DC878FE"/>
    <w:multiLevelType w:val="multilevel"/>
    <w:tmpl w:val="D8688EDC"/>
    <w:lvl w:ilvl="0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64" w:hanging="25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12" w15:restartNumberingAfterBreak="0">
    <w:nsid w:val="64944C99"/>
    <w:multiLevelType w:val="multilevel"/>
    <w:tmpl w:val="24BCB7A8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2"/>
      <w:numFmt w:val="russianLower"/>
      <w:lvlText w:val="%4)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13" w15:restartNumberingAfterBreak="0">
    <w:nsid w:val="70F41A5D"/>
    <w:multiLevelType w:val="multilevel"/>
    <w:tmpl w:val="57525E24"/>
    <w:lvl w:ilvl="0">
      <w:start w:val="2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14" w15:restartNumberingAfterBreak="0">
    <w:nsid w:val="72F733C7"/>
    <w:multiLevelType w:val="multilevel"/>
    <w:tmpl w:val="8B92FF32"/>
    <w:lvl w:ilvl="0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15" w15:restartNumberingAfterBreak="0">
    <w:nsid w:val="7BB0657B"/>
    <w:multiLevelType w:val="multilevel"/>
    <w:tmpl w:val="F4DC54D4"/>
    <w:lvl w:ilvl="0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964" w:hanging="255"/>
        </w:pPr>
        <w:rPr>
          <w:rFonts w:hint="default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2041" w:hanging="25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3118" w:hanging="25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95" w:hanging="25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72" w:hanging="25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49" w:hanging="25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426" w:hanging="25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503" w:hanging="25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580" w:hanging="255"/>
        </w:pPr>
        <w:rPr>
          <w:rFonts w:hint="default"/>
        </w:rPr>
      </w:lvl>
    </w:lvlOverride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005A0"/>
    <w:rsid w:val="00010943"/>
    <w:rsid w:val="00022381"/>
    <w:rsid w:val="000314F0"/>
    <w:rsid w:val="00031851"/>
    <w:rsid w:val="00052F49"/>
    <w:rsid w:val="000533F4"/>
    <w:rsid w:val="0005352A"/>
    <w:rsid w:val="000727B1"/>
    <w:rsid w:val="0009522D"/>
    <w:rsid w:val="00096BE8"/>
    <w:rsid w:val="000A2F48"/>
    <w:rsid w:val="000E0095"/>
    <w:rsid w:val="000E0DA8"/>
    <w:rsid w:val="0012768C"/>
    <w:rsid w:val="0012771F"/>
    <w:rsid w:val="001438BF"/>
    <w:rsid w:val="0015032E"/>
    <w:rsid w:val="00167DF9"/>
    <w:rsid w:val="00187DBD"/>
    <w:rsid w:val="001920B4"/>
    <w:rsid w:val="00193FD0"/>
    <w:rsid w:val="00197FE0"/>
    <w:rsid w:val="001A3E0B"/>
    <w:rsid w:val="001B052C"/>
    <w:rsid w:val="001C645F"/>
    <w:rsid w:val="001D09C1"/>
    <w:rsid w:val="001D78CC"/>
    <w:rsid w:val="001E6FD7"/>
    <w:rsid w:val="001F2DFD"/>
    <w:rsid w:val="002045B5"/>
    <w:rsid w:val="00231D23"/>
    <w:rsid w:val="00236850"/>
    <w:rsid w:val="002446E8"/>
    <w:rsid w:val="00255EB9"/>
    <w:rsid w:val="00264C33"/>
    <w:rsid w:val="00273545"/>
    <w:rsid w:val="00273EC6"/>
    <w:rsid w:val="00281759"/>
    <w:rsid w:val="0028329C"/>
    <w:rsid w:val="00293947"/>
    <w:rsid w:val="0029475C"/>
    <w:rsid w:val="002A1839"/>
    <w:rsid w:val="002A4134"/>
    <w:rsid w:val="002A5B78"/>
    <w:rsid w:val="002B458B"/>
    <w:rsid w:val="002B6C04"/>
    <w:rsid w:val="002D2A4E"/>
    <w:rsid w:val="002E717C"/>
    <w:rsid w:val="002F3F3F"/>
    <w:rsid w:val="00301BD1"/>
    <w:rsid w:val="00313087"/>
    <w:rsid w:val="00337217"/>
    <w:rsid w:val="003504AD"/>
    <w:rsid w:val="00354E6B"/>
    <w:rsid w:val="00357396"/>
    <w:rsid w:val="003803F4"/>
    <w:rsid w:val="0038089F"/>
    <w:rsid w:val="00382426"/>
    <w:rsid w:val="00382892"/>
    <w:rsid w:val="00382B60"/>
    <w:rsid w:val="003B47B7"/>
    <w:rsid w:val="003C3293"/>
    <w:rsid w:val="003D0D9E"/>
    <w:rsid w:val="003E0988"/>
    <w:rsid w:val="003E6805"/>
    <w:rsid w:val="003F0103"/>
    <w:rsid w:val="003F035D"/>
    <w:rsid w:val="003F796B"/>
    <w:rsid w:val="0040619D"/>
    <w:rsid w:val="00413A1B"/>
    <w:rsid w:val="004202DB"/>
    <w:rsid w:val="00424A4B"/>
    <w:rsid w:val="00432C9F"/>
    <w:rsid w:val="00464E4B"/>
    <w:rsid w:val="00471C5B"/>
    <w:rsid w:val="0047200B"/>
    <w:rsid w:val="004765E6"/>
    <w:rsid w:val="00481F2B"/>
    <w:rsid w:val="004913EE"/>
    <w:rsid w:val="00496C39"/>
    <w:rsid w:val="004A027F"/>
    <w:rsid w:val="004B1364"/>
    <w:rsid w:val="004C6384"/>
    <w:rsid w:val="004D2857"/>
    <w:rsid w:val="004E64BA"/>
    <w:rsid w:val="004E7AD0"/>
    <w:rsid w:val="005063DE"/>
    <w:rsid w:val="0051660E"/>
    <w:rsid w:val="00553DDD"/>
    <w:rsid w:val="00567E02"/>
    <w:rsid w:val="00572C15"/>
    <w:rsid w:val="00585E99"/>
    <w:rsid w:val="005A0F4F"/>
    <w:rsid w:val="005A406B"/>
    <w:rsid w:val="005C4242"/>
    <w:rsid w:val="005D6E72"/>
    <w:rsid w:val="005D7172"/>
    <w:rsid w:val="005E14ED"/>
    <w:rsid w:val="005F3CD4"/>
    <w:rsid w:val="0060207F"/>
    <w:rsid w:val="00606B84"/>
    <w:rsid w:val="00621CFB"/>
    <w:rsid w:val="006321AD"/>
    <w:rsid w:val="00637ADF"/>
    <w:rsid w:val="0064020F"/>
    <w:rsid w:val="00646E2B"/>
    <w:rsid w:val="00652F69"/>
    <w:rsid w:val="00653485"/>
    <w:rsid w:val="00673925"/>
    <w:rsid w:val="00685F89"/>
    <w:rsid w:val="00692F6C"/>
    <w:rsid w:val="006A42D3"/>
    <w:rsid w:val="006A75D2"/>
    <w:rsid w:val="006B7A93"/>
    <w:rsid w:val="006C3D50"/>
    <w:rsid w:val="006C4939"/>
    <w:rsid w:val="006D0342"/>
    <w:rsid w:val="006E0761"/>
    <w:rsid w:val="006E0862"/>
    <w:rsid w:val="006E316E"/>
    <w:rsid w:val="006E77AC"/>
    <w:rsid w:val="006F1A52"/>
    <w:rsid w:val="006F2696"/>
    <w:rsid w:val="00716222"/>
    <w:rsid w:val="00720212"/>
    <w:rsid w:val="007226A4"/>
    <w:rsid w:val="007255B0"/>
    <w:rsid w:val="00763AC4"/>
    <w:rsid w:val="0076629B"/>
    <w:rsid w:val="00777483"/>
    <w:rsid w:val="007823CC"/>
    <w:rsid w:val="00792EB4"/>
    <w:rsid w:val="007A62A0"/>
    <w:rsid w:val="007B3B8F"/>
    <w:rsid w:val="007C4229"/>
    <w:rsid w:val="007C5256"/>
    <w:rsid w:val="007D3E24"/>
    <w:rsid w:val="007D5D92"/>
    <w:rsid w:val="007F0198"/>
    <w:rsid w:val="007F17B1"/>
    <w:rsid w:val="007F4208"/>
    <w:rsid w:val="00811B8F"/>
    <w:rsid w:val="008131DC"/>
    <w:rsid w:val="00815F53"/>
    <w:rsid w:val="00817398"/>
    <w:rsid w:val="0082201E"/>
    <w:rsid w:val="008357BF"/>
    <w:rsid w:val="00842534"/>
    <w:rsid w:val="008453C6"/>
    <w:rsid w:val="0086132D"/>
    <w:rsid w:val="00870F4D"/>
    <w:rsid w:val="008736D0"/>
    <w:rsid w:val="008A018C"/>
    <w:rsid w:val="008B6FB8"/>
    <w:rsid w:val="008C3C75"/>
    <w:rsid w:val="008C596C"/>
    <w:rsid w:val="008D5031"/>
    <w:rsid w:val="008E613C"/>
    <w:rsid w:val="009206C9"/>
    <w:rsid w:val="009326ED"/>
    <w:rsid w:val="009341F8"/>
    <w:rsid w:val="0093560E"/>
    <w:rsid w:val="00944953"/>
    <w:rsid w:val="00955F6F"/>
    <w:rsid w:val="0098484A"/>
    <w:rsid w:val="00997443"/>
    <w:rsid w:val="009A0B81"/>
    <w:rsid w:val="009A1618"/>
    <w:rsid w:val="009A6098"/>
    <w:rsid w:val="009A7067"/>
    <w:rsid w:val="009B3E77"/>
    <w:rsid w:val="009C0734"/>
    <w:rsid w:val="009C16D0"/>
    <w:rsid w:val="009C504C"/>
    <w:rsid w:val="009C624F"/>
    <w:rsid w:val="009C6D42"/>
    <w:rsid w:val="009D00C9"/>
    <w:rsid w:val="009D0CE0"/>
    <w:rsid w:val="009E0755"/>
    <w:rsid w:val="009E37AA"/>
    <w:rsid w:val="009E6F03"/>
    <w:rsid w:val="009F0AF8"/>
    <w:rsid w:val="00A01768"/>
    <w:rsid w:val="00A12DD5"/>
    <w:rsid w:val="00A1743C"/>
    <w:rsid w:val="00A53399"/>
    <w:rsid w:val="00A66A7D"/>
    <w:rsid w:val="00A67D0F"/>
    <w:rsid w:val="00A70101"/>
    <w:rsid w:val="00AA74A2"/>
    <w:rsid w:val="00AB3E58"/>
    <w:rsid w:val="00AB5FDF"/>
    <w:rsid w:val="00AC300A"/>
    <w:rsid w:val="00AC5B58"/>
    <w:rsid w:val="00AD1EF4"/>
    <w:rsid w:val="00AD7879"/>
    <w:rsid w:val="00AE6E93"/>
    <w:rsid w:val="00AF28A7"/>
    <w:rsid w:val="00AF6A01"/>
    <w:rsid w:val="00B0332A"/>
    <w:rsid w:val="00B47EB6"/>
    <w:rsid w:val="00B624B2"/>
    <w:rsid w:val="00B7199F"/>
    <w:rsid w:val="00B72F5B"/>
    <w:rsid w:val="00B96F5D"/>
    <w:rsid w:val="00BA55A7"/>
    <w:rsid w:val="00BB10F3"/>
    <w:rsid w:val="00BC05BF"/>
    <w:rsid w:val="00BC2BB2"/>
    <w:rsid w:val="00BC3B92"/>
    <w:rsid w:val="00BD0D14"/>
    <w:rsid w:val="00BD2B0C"/>
    <w:rsid w:val="00BD739D"/>
    <w:rsid w:val="00C02D22"/>
    <w:rsid w:val="00C05470"/>
    <w:rsid w:val="00C079C9"/>
    <w:rsid w:val="00C10BFA"/>
    <w:rsid w:val="00C1249B"/>
    <w:rsid w:val="00C12C3E"/>
    <w:rsid w:val="00C2193A"/>
    <w:rsid w:val="00C253E5"/>
    <w:rsid w:val="00C369CB"/>
    <w:rsid w:val="00C5245D"/>
    <w:rsid w:val="00C61AA5"/>
    <w:rsid w:val="00C65FAC"/>
    <w:rsid w:val="00C71A6C"/>
    <w:rsid w:val="00C73B22"/>
    <w:rsid w:val="00C744BC"/>
    <w:rsid w:val="00C92BE1"/>
    <w:rsid w:val="00C9479D"/>
    <w:rsid w:val="00CA7A23"/>
    <w:rsid w:val="00CC517E"/>
    <w:rsid w:val="00CC5889"/>
    <w:rsid w:val="00CE0678"/>
    <w:rsid w:val="00CE5C8A"/>
    <w:rsid w:val="00CF0820"/>
    <w:rsid w:val="00D026E7"/>
    <w:rsid w:val="00D043F1"/>
    <w:rsid w:val="00D05B5A"/>
    <w:rsid w:val="00D06171"/>
    <w:rsid w:val="00D1117C"/>
    <w:rsid w:val="00D2543F"/>
    <w:rsid w:val="00D25987"/>
    <w:rsid w:val="00D26F43"/>
    <w:rsid w:val="00D6723D"/>
    <w:rsid w:val="00D67606"/>
    <w:rsid w:val="00D82AFC"/>
    <w:rsid w:val="00D94025"/>
    <w:rsid w:val="00D97E05"/>
    <w:rsid w:val="00DA3FFE"/>
    <w:rsid w:val="00DB2F9F"/>
    <w:rsid w:val="00DD2BD5"/>
    <w:rsid w:val="00DE13D4"/>
    <w:rsid w:val="00DE2333"/>
    <w:rsid w:val="00DE259B"/>
    <w:rsid w:val="00DF0D45"/>
    <w:rsid w:val="00E07959"/>
    <w:rsid w:val="00E07F2C"/>
    <w:rsid w:val="00E27692"/>
    <w:rsid w:val="00E379F6"/>
    <w:rsid w:val="00E53C04"/>
    <w:rsid w:val="00E574B1"/>
    <w:rsid w:val="00E62984"/>
    <w:rsid w:val="00E71B1A"/>
    <w:rsid w:val="00E7705D"/>
    <w:rsid w:val="00E82774"/>
    <w:rsid w:val="00E9364E"/>
    <w:rsid w:val="00EA63DF"/>
    <w:rsid w:val="00EA7291"/>
    <w:rsid w:val="00EA78AC"/>
    <w:rsid w:val="00EC1242"/>
    <w:rsid w:val="00ED7D3F"/>
    <w:rsid w:val="00EE2DA0"/>
    <w:rsid w:val="00EF5AFB"/>
    <w:rsid w:val="00F04966"/>
    <w:rsid w:val="00F32BAA"/>
    <w:rsid w:val="00F364AC"/>
    <w:rsid w:val="00F471F6"/>
    <w:rsid w:val="00F67F02"/>
    <w:rsid w:val="00F92FBE"/>
    <w:rsid w:val="00F95933"/>
    <w:rsid w:val="00FC71B0"/>
    <w:rsid w:val="00FD2F39"/>
    <w:rsid w:val="00FE2A7A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F328"/>
  <w15:docId w15:val="{C1921D58-FB33-4E1C-9F6D-33544F7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Hyperlink"/>
    <w:basedOn w:val="a0"/>
    <w:uiPriority w:val="99"/>
    <w:unhideWhenUsed/>
    <w:rsid w:val="00D026E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A78A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AAAA91EDCE8CFFD6532BF9CBA0E64F9E95761D0C90F8F2E44F7BB51E89B8D7E7E0B6C91D65993FFD4A560535F969319206EEEBFA8B416j9W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11E8-4290-4B14-A98A-30C0A5BE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Лескина Оксана Вадимовна</cp:lastModifiedBy>
  <cp:revision>2</cp:revision>
  <cp:lastPrinted>2019-04-01T00:06:00Z</cp:lastPrinted>
  <dcterms:created xsi:type="dcterms:W3CDTF">2019-04-10T05:11:00Z</dcterms:created>
  <dcterms:modified xsi:type="dcterms:W3CDTF">2019-04-10T05:11:00Z</dcterms:modified>
</cp:coreProperties>
</file>