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46" w:rsidRDefault="00676646">
      <w:pPr>
        <w:pStyle w:val="ConsPlusNormal"/>
        <w:ind w:firstLine="540"/>
        <w:jc w:val="both"/>
      </w:pPr>
    </w:p>
    <w:p w:rsidR="00676646" w:rsidRDefault="00676646">
      <w:pPr>
        <w:pStyle w:val="ConsPlusNormal"/>
        <w:ind w:firstLine="540"/>
        <w:jc w:val="both"/>
      </w:pPr>
    </w:p>
    <w:p w:rsidR="00676646" w:rsidRDefault="00676646">
      <w:pPr>
        <w:pStyle w:val="ConsPlusNormal"/>
        <w:jc w:val="right"/>
        <w:outlineLvl w:val="0"/>
      </w:pPr>
      <w:r>
        <w:t>Приложение N 1</w:t>
      </w:r>
    </w:p>
    <w:p w:rsidR="00676646" w:rsidRDefault="00676646">
      <w:pPr>
        <w:pStyle w:val="ConsPlusNormal"/>
        <w:jc w:val="right"/>
      </w:pPr>
      <w:r>
        <w:t>к Постановлению Правительства</w:t>
      </w:r>
    </w:p>
    <w:p w:rsidR="00676646" w:rsidRDefault="00676646">
      <w:pPr>
        <w:pStyle w:val="ConsPlusNormal"/>
        <w:jc w:val="right"/>
      </w:pPr>
      <w:r>
        <w:t>Камчатского края</w:t>
      </w:r>
    </w:p>
    <w:p w:rsidR="00676646" w:rsidRDefault="00676646">
      <w:pPr>
        <w:pStyle w:val="ConsPlusNormal"/>
        <w:jc w:val="right"/>
      </w:pPr>
      <w:r>
        <w:t>от 18.02.2014 N 89-П</w:t>
      </w:r>
    </w:p>
    <w:p w:rsidR="00676646" w:rsidRDefault="00676646">
      <w:pPr>
        <w:pStyle w:val="ConsPlusNormal"/>
        <w:ind w:firstLine="540"/>
        <w:jc w:val="both"/>
      </w:pPr>
    </w:p>
    <w:p w:rsidR="00676646" w:rsidRDefault="00676646">
      <w:pPr>
        <w:pStyle w:val="ConsPlusTitle"/>
        <w:jc w:val="center"/>
      </w:pPr>
      <w:bookmarkStart w:id="0" w:name="P44"/>
      <w:bookmarkEnd w:id="0"/>
      <w:r>
        <w:t>ПОРЯДОК</w:t>
      </w:r>
    </w:p>
    <w:p w:rsidR="00676646" w:rsidRDefault="00676646">
      <w:pPr>
        <w:pStyle w:val="ConsPlusTitle"/>
        <w:jc w:val="center"/>
      </w:pPr>
      <w:r>
        <w:t>ПРОВЕДЕНИЯ КОНКУРСА НА ПРАВО ПОЛУЧЕНИЯ</w:t>
      </w:r>
    </w:p>
    <w:p w:rsidR="00676646" w:rsidRDefault="00676646">
      <w:pPr>
        <w:pStyle w:val="ConsPlusTitle"/>
        <w:jc w:val="center"/>
      </w:pPr>
      <w:r>
        <w:t>СОЦИАЛЬНО ОРИЕНТИРОВАННЫМИ НЕКОММЕРЧЕСКИМИ ОРГАНИЗАЦИЯМИ</w:t>
      </w:r>
    </w:p>
    <w:p w:rsidR="00676646" w:rsidRDefault="00676646">
      <w:pPr>
        <w:pStyle w:val="ConsPlusTitle"/>
        <w:jc w:val="center"/>
      </w:pPr>
      <w:r>
        <w:t>В КАМЧАТСКОМ КРАЕ СУБСИДИЙ НА РЕАЛИЗАЦИЮ СОЦИАЛЬНО</w:t>
      </w:r>
    </w:p>
    <w:p w:rsidR="00676646" w:rsidRDefault="00676646">
      <w:pPr>
        <w:pStyle w:val="ConsPlusTitle"/>
        <w:jc w:val="center"/>
      </w:pPr>
      <w:r>
        <w:t>ЗНАЧИМЫХ ПРОГРАММ (ПРОЕКТОВ)</w:t>
      </w:r>
    </w:p>
    <w:p w:rsidR="00676646" w:rsidRDefault="00676646">
      <w:pPr>
        <w:pStyle w:val="ConsPlusNormal"/>
        <w:jc w:val="center"/>
      </w:pPr>
      <w:r>
        <w:t>Список изменяющих документов</w:t>
      </w:r>
    </w:p>
    <w:p w:rsidR="00676646" w:rsidRDefault="00676646">
      <w:pPr>
        <w:pStyle w:val="ConsPlusNormal"/>
        <w:jc w:val="center"/>
      </w:pPr>
      <w:r>
        <w:t>(в ред. Постановлений Правительства Камчатского края</w:t>
      </w:r>
    </w:p>
    <w:p w:rsidR="00676646" w:rsidRDefault="00676646">
      <w:pPr>
        <w:pStyle w:val="ConsPlusNormal"/>
        <w:jc w:val="center"/>
      </w:pPr>
      <w:r>
        <w:t xml:space="preserve">от 01.04.2014 </w:t>
      </w:r>
      <w:hyperlink r:id="rId4" w:history="1">
        <w:r>
          <w:rPr>
            <w:color w:val="0000FF"/>
          </w:rPr>
          <w:t>N 159-П</w:t>
        </w:r>
      </w:hyperlink>
      <w:r>
        <w:t xml:space="preserve">, от 18.08.2014 </w:t>
      </w:r>
      <w:hyperlink r:id="rId5" w:history="1">
        <w:r>
          <w:rPr>
            <w:color w:val="0000FF"/>
          </w:rPr>
          <w:t>N 338-П</w:t>
        </w:r>
      </w:hyperlink>
      <w:r>
        <w:t>,</w:t>
      </w:r>
    </w:p>
    <w:p w:rsidR="00676646" w:rsidRDefault="00676646">
      <w:pPr>
        <w:pStyle w:val="ConsPlusNormal"/>
        <w:jc w:val="center"/>
      </w:pPr>
      <w:r>
        <w:t xml:space="preserve">от 02.02.2015 </w:t>
      </w:r>
      <w:hyperlink r:id="rId6" w:history="1">
        <w:r>
          <w:rPr>
            <w:color w:val="0000FF"/>
          </w:rPr>
          <w:t>N 35-П</w:t>
        </w:r>
      </w:hyperlink>
      <w:r>
        <w:t xml:space="preserve">, от 24.09.2015 </w:t>
      </w:r>
      <w:hyperlink r:id="rId7" w:history="1">
        <w:r>
          <w:rPr>
            <w:color w:val="0000FF"/>
          </w:rPr>
          <w:t>N 335-П</w:t>
        </w:r>
      </w:hyperlink>
      <w:r>
        <w:t>,</w:t>
      </w:r>
    </w:p>
    <w:p w:rsidR="00676646" w:rsidRDefault="00676646">
      <w:pPr>
        <w:pStyle w:val="ConsPlusNormal"/>
        <w:jc w:val="center"/>
      </w:pPr>
      <w:r>
        <w:t xml:space="preserve">от 26.02.2016 </w:t>
      </w:r>
      <w:hyperlink r:id="rId8" w:history="1">
        <w:r>
          <w:rPr>
            <w:color w:val="0000FF"/>
          </w:rPr>
          <w:t>N 57-П</w:t>
        </w:r>
      </w:hyperlink>
      <w:r>
        <w:t xml:space="preserve">, от 08.08.2016 </w:t>
      </w:r>
      <w:hyperlink r:id="rId9" w:history="1">
        <w:r>
          <w:rPr>
            <w:color w:val="0000FF"/>
          </w:rPr>
          <w:t>N 308-П</w:t>
        </w:r>
      </w:hyperlink>
      <w:r>
        <w:t>)</w:t>
      </w:r>
    </w:p>
    <w:p w:rsidR="00676646" w:rsidRDefault="00676646">
      <w:pPr>
        <w:pStyle w:val="ConsPlusNormal"/>
        <w:ind w:firstLine="540"/>
        <w:jc w:val="both"/>
      </w:pPr>
    </w:p>
    <w:p w:rsidR="00676646" w:rsidRDefault="00676646">
      <w:pPr>
        <w:pStyle w:val="ConsPlusNormal"/>
        <w:ind w:firstLine="540"/>
        <w:jc w:val="both"/>
      </w:pPr>
      <w:r>
        <w:t xml:space="preserve">1. Настоящий Порядок регламентирует процедуру проведения конкурса на право получения социально ориентированными некоммерческими организациями в Камчатском крае (далее - СОНКО) субсидий из краевого бюджета на реализацию социально значимых программ (проектов) по направлениям деятельности, предусмотренным </w:t>
      </w:r>
      <w:hyperlink r:id="rId10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 (далее - конкурс, программы (проекты).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2. 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676646" w:rsidRDefault="00676646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2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3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 крае".</w:t>
      </w:r>
    </w:p>
    <w:p w:rsidR="00676646" w:rsidRDefault="0067664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4. Программы (проекты) должны отвечать следующим требованиям: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1) соответствие программы (проекта), представленной на конкурс, уставным целям деятельности СОНКО;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2)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3) соответствие программы (проекта), представленной на конкурс, тематике объявленного конкурса.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4) описание в содержании программы (проекта) ее целей, задач, проблемы, решению которой посвящена программа (проект), географии программы (проекта) (перечня населенных пунктов);</w:t>
      </w:r>
    </w:p>
    <w:p w:rsidR="00676646" w:rsidRDefault="00676646">
      <w:pPr>
        <w:pStyle w:val="ConsPlusNormal"/>
        <w:jc w:val="both"/>
      </w:pPr>
      <w:r>
        <w:t xml:space="preserve">(п. 4)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5) указание сроков реализации программы (проекта), общего объема средств, необходимого для реализации программы (проекта);</w:t>
      </w:r>
    </w:p>
    <w:p w:rsidR="00676646" w:rsidRDefault="00676646">
      <w:pPr>
        <w:pStyle w:val="ConsPlusNormal"/>
        <w:jc w:val="both"/>
      </w:pPr>
      <w:r>
        <w:lastRenderedPageBreak/>
        <w:t xml:space="preserve">(п. 5)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676646" w:rsidRDefault="00676646">
      <w:pPr>
        <w:pStyle w:val="ConsPlusNormal"/>
        <w:jc w:val="both"/>
      </w:pPr>
      <w:r>
        <w:t xml:space="preserve">(п. 6)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5. Участниками конкурса не могут быть: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1) физические лица;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2) коммерческие организации;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3) государственные корпорации;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4) государственные компании;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5) политические партии;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6) государственные учреждения;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7) муниципальные учреждения;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8) общественные объединения, не являющиеся юридическими лицами;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9) СОНКО, находящиеся в стадии ликвидации или реорганизации.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6. Конкурс проводится конкурсной комиссией, образованной правовым актом исполнительного органа государственной власти Камчатского края - главного распорядителя бюджетных средств по соответствующему мероприятию </w:t>
      </w:r>
      <w:hyperlink r:id="rId17" w:history="1">
        <w:r>
          <w:rPr>
            <w:color w:val="0000FF"/>
          </w:rPr>
          <w:t>подпрограммы 1</w:t>
        </w:r>
      </w:hyperlink>
      <w:r>
        <w:t xml:space="preserve"> "Семья и дети Камчатки" государственной программы Камчатского края "Семья и дети Камчатки", утвержденной Постановлением Правительства Камчатского края от 18.12.2014 N 533-П, </w:t>
      </w:r>
      <w:hyperlink r:id="rId18" w:history="1">
        <w:r>
          <w:rPr>
            <w:color w:val="0000FF"/>
          </w:rPr>
          <w:t>подпрограммы 5</w:t>
        </w:r>
      </w:hyperlink>
      <w:r>
        <w:t xml:space="preserve"> "Профилактика наркомании и алкоголизма" государственной программы Камчатского края "Безопасная Камчатка", утвержденной Постановлением Правительства Камчатского края от 14.11.2016 N 448-П, </w:t>
      </w:r>
      <w:hyperlink r:id="rId19" w:history="1">
        <w:r>
          <w:rPr>
            <w:color w:val="0000FF"/>
          </w:rPr>
          <w:t>подпрограммы 3</w:t>
        </w:r>
      </w:hyperlink>
      <w:r>
        <w:t xml:space="preserve"> "Управление развитием отрасли" государственной программы Камчатского края "Развитие здравоохранения в Камчатском крае", утвержденной Постановлением Правительства Камчатского края от 29.11.2013 N 524-П, </w:t>
      </w:r>
      <w:hyperlink r:id="rId20" w:history="1">
        <w:r>
          <w:rPr>
            <w:color w:val="0000FF"/>
          </w:rPr>
          <w:t>подпрограммы 5</w:t>
        </w:r>
      </w:hyperlink>
      <w: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 (далее - организатор конкурса)</w:t>
      </w:r>
    </w:p>
    <w:p w:rsidR="00676646" w:rsidRDefault="0067664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24.05.2017 N 213-П)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lastRenderedPageBreak/>
        <w:t>Срок приема заявок и прилагаемых к ним документов составляет не менее 35 календарных дней со дня объявления конкурса.</w:t>
      </w:r>
    </w:p>
    <w:p w:rsidR="00676646" w:rsidRDefault="00676646">
      <w:pPr>
        <w:pStyle w:val="ConsPlusNormal"/>
        <w:jc w:val="both"/>
      </w:pPr>
      <w:r>
        <w:t xml:space="preserve">(абзац третий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76646" w:rsidRDefault="00676646">
      <w:pPr>
        <w:pStyle w:val="ConsPlusNormal"/>
        <w:spacing w:before="220"/>
        <w:ind w:firstLine="540"/>
        <w:jc w:val="both"/>
      </w:pPr>
      <w:bookmarkStart w:id="3" w:name="P84"/>
      <w:bookmarkEnd w:id="3"/>
      <w:r>
        <w:t>8. Для участия в конкурсе СОНКО представляют в конкурсную комиссию следующие документы: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заявку</w:t>
        </w:r>
      </w:hyperlink>
      <w:r>
        <w:t xml:space="preserve"> на участие в конкурсе на бумажном и электронном носителе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2) копию устава, заверенную руководящим органом СОНКО;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3) программу (проект) на бумажном и электронном носителях;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 с отметкой Управления Министерства юстиции Российской Федерации по Камчатскому краю о ее приеме.</w:t>
      </w:r>
    </w:p>
    <w:p w:rsidR="00676646" w:rsidRDefault="0067664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676646" w:rsidRDefault="00676646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9. Кроме документов, указанных в </w:t>
      </w:r>
      <w:hyperlink w:anchor="P84" w:history="1">
        <w:r>
          <w:rPr>
            <w:color w:val="0000FF"/>
          </w:rPr>
          <w:t>части 8</w:t>
        </w:r>
      </w:hyperlink>
      <w: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10. Если документы, указанные в </w:t>
      </w:r>
      <w:hyperlink w:anchor="P84" w:history="1">
        <w:r>
          <w:rPr>
            <w:color w:val="0000FF"/>
          </w:rPr>
          <w:t>частях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настоящего Порядка, содержат персональные данные, СОНКО предоставляет согласие субъекта персональных данных на их обработку.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11. В случае представления не полного пакета документов, предусмотренного </w:t>
      </w:r>
      <w:hyperlink w:anchor="P84" w:history="1">
        <w:r>
          <w:rPr>
            <w:color w:val="0000FF"/>
          </w:rPr>
          <w:t>частью 8</w:t>
        </w:r>
      </w:hyperlink>
      <w:r>
        <w:t xml:space="preserve">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12. Одна СОНКО может подать на конкурс только одну заявку.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13. Документы, указанные в </w:t>
      </w:r>
      <w:hyperlink w:anchor="P84" w:history="1">
        <w:r>
          <w:rPr>
            <w:color w:val="0000FF"/>
          </w:rPr>
          <w:t>частях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настоящего Порядка, представляются в конкурсную комиссию непосредственно или направляются по почте.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При приеме документов, указанных в </w:t>
      </w:r>
      <w:hyperlink w:anchor="P84" w:history="1">
        <w:r>
          <w:rPr>
            <w:color w:val="0000FF"/>
          </w:rPr>
          <w:t>частях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настоящего Порядка, секретарь конкурсной комиссии регистрирует их в журнале учета заявок на участие в конкурсе и выдает СОНКО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При поступлении в конкурсную комиссию документов, указанных в </w:t>
      </w:r>
      <w:hyperlink w:anchor="P84" w:history="1">
        <w:r>
          <w:rPr>
            <w:color w:val="0000FF"/>
          </w:rPr>
          <w:t>частях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настоящего Порядка, направленных по почте, они регистрируются в журнале учета заявок на участие в конкурсе, расписка в получении документов не составляется и не выдается.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Документы, поступившие в конкурсную комиссию после окончания срока приема заявок, не регистрируются и к участию в конкурсе не допускаются.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14.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</w:t>
      </w:r>
      <w:r>
        <w:lastRenderedPageBreak/>
        <w:t>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14(1). Конкурс считается не состоявшимся в случае, если для участия в конкурсе поступило менее двух заявок СОНКО.</w:t>
      </w:r>
    </w:p>
    <w:p w:rsidR="00676646" w:rsidRDefault="00676646">
      <w:pPr>
        <w:pStyle w:val="ConsPlusNormal"/>
        <w:jc w:val="both"/>
      </w:pPr>
      <w:r>
        <w:t xml:space="preserve">(часть 14(1) введена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15. К участию в конкурсе не допускаются СОНКО, если: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1) СОНКО не соответствует требованиям, установленным </w:t>
      </w:r>
      <w:hyperlink w:anchor="P57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2) документы, представленные СОНКО, не соответствуют требованиям, установленным </w:t>
      </w:r>
      <w:hyperlink w:anchor="P84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3) СОНКО представлено более одной заявки;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4) подготовленная СОНКО заявка поступила в конкурсную комиссию после окончания срока приема заявок;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5) представленная программа (проект) не соответствует требованиям, установленным </w:t>
      </w:r>
      <w:hyperlink w:anchor="P58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08.08.2016 N 308-П;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16. Не может являться основанием для отказа в допуске к участию в конкурсе наличие в документах, указанных в </w:t>
      </w:r>
      <w:hyperlink w:anchor="P84" w:history="1">
        <w:r>
          <w:rPr>
            <w:color w:val="0000FF"/>
          </w:rPr>
          <w:t>частях 8</w:t>
        </w:r>
      </w:hyperlink>
      <w:r>
        <w:t xml:space="preserve"> и </w:t>
      </w:r>
      <w:hyperlink w:anchor="P92" w:history="1">
        <w:r>
          <w:rPr>
            <w:color w:val="0000FF"/>
          </w:rPr>
          <w:t>9</w:t>
        </w:r>
      </w:hyperlink>
      <w:r>
        <w:t xml:space="preserve"> настоящего Порядка, описок, опечаток, орфографических и арифметических ошибок.</w:t>
      </w:r>
    </w:p>
    <w:p w:rsidR="00676646" w:rsidRDefault="00676646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</w:r>
      <w:proofErr w:type="spellStart"/>
      <w:r>
        <w:t>взаимоувязки</w:t>
      </w:r>
      <w:proofErr w:type="spellEnd"/>
      <w:r>
        <w:t xml:space="preserve"> предлагаемых мероприятий).</w:t>
      </w:r>
    </w:p>
    <w:p w:rsidR="00676646" w:rsidRDefault="00676646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18. В зависимости от тематики конкурсов организаторы конкурсов могут своим правовым актом устанавливать дополнительные критерии оценки программ (проектов).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19. Оценка программ (проектов) по критериям, установленным в соответствии с </w:t>
      </w:r>
      <w:hyperlink w:anchor="P112" w:history="1">
        <w:r>
          <w:rPr>
            <w:color w:val="0000FF"/>
          </w:rPr>
          <w:t>частями 17</w:t>
        </w:r>
      </w:hyperlink>
      <w:r>
        <w:t xml:space="preserve"> и </w:t>
      </w:r>
      <w:hyperlink w:anchor="P117" w:history="1">
        <w:r>
          <w:rPr>
            <w:color w:val="0000FF"/>
          </w:rPr>
          <w:t>18</w:t>
        </w:r>
      </w:hyperlink>
      <w:r>
        <w:t xml:space="preserve"> настоящего Порядка, производится по </w:t>
      </w:r>
      <w:proofErr w:type="spellStart"/>
      <w:r>
        <w:t>шестибальной</w:t>
      </w:r>
      <w:proofErr w:type="spellEnd"/>
      <w:r>
        <w:t xml:space="preserve">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</w:t>
      </w:r>
      <w:r>
        <w:lastRenderedPageBreak/>
        <w:t>программы (проекта).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19(1). В случае нарушения СОНКО-победителем конкурса правовой дисциплины в части своевременного представления отчета об использовании субсидии на реализацию социально значимой программы (проекта) в соответствующий исполнительный орган государственной власти Камчатского края за три отчетных финансовых года, значение рейтинга программы (проекта) уменьшается на 4 балла.</w:t>
      </w:r>
    </w:p>
    <w:p w:rsidR="00676646" w:rsidRDefault="00676646">
      <w:pPr>
        <w:pStyle w:val="ConsPlusNormal"/>
        <w:jc w:val="both"/>
      </w:pPr>
      <w:r>
        <w:t xml:space="preserve">(часть 19(1) введена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308-П)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Сведения о нарушении СОНКО-победителем конкурса правовой дисциплины в части своевременного представления отчета об использовании субсидии на реализацию социально значимой программы (проекта) в конкурсную комиссию представляет соответствующий исполнительный орган государственной власти Камчатского края по ее запросу.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20.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21. Победителями конкурса признаются СОНКО, программам (проектам) которых присвоены значения рейтинга не менее, чем минимальный размер значения рейтинга, установленный конкурсной комиссией.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22. Размеры субсидий СОНКО определяются конкурсной комиссией пропорционально значениям рейтинга программ (проектов) СОНКО.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22(1). 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676646" w:rsidRDefault="00676646">
      <w:pPr>
        <w:pStyle w:val="ConsPlusNormal"/>
        <w:jc w:val="both"/>
      </w:pPr>
      <w:r>
        <w:t xml:space="preserve">(часть 22(1) 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18.08.2014 N 338-П)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24. Решение конкурсной комиссии, принятое по результатам конкурса, оформляется протоколом в течение 2-х рабочих дней со дня окончания заседания конкурсной комиссии.</w:t>
      </w:r>
    </w:p>
    <w:p w:rsidR="00676646" w:rsidRDefault="00676646">
      <w:pPr>
        <w:pStyle w:val="ConsPlusNormal"/>
        <w:jc w:val="both"/>
      </w:pPr>
      <w:r>
        <w:t xml:space="preserve">(абзац первый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Указанный протокол направляется конкурсной комиссией организатору конкурса, который издает правовой акт о предоставлении СОНКО - победителям конкурса субсидии из краевого бюджета на реализацию программ (проектов).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24(1). СОНКО-победители конкурса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субсидии.</w:t>
      </w:r>
    </w:p>
    <w:p w:rsidR="00676646" w:rsidRDefault="00676646">
      <w:pPr>
        <w:pStyle w:val="ConsPlusNormal"/>
        <w:jc w:val="both"/>
      </w:pPr>
      <w:r>
        <w:t xml:space="preserve">(часть 24(1)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25. Срок проведения конкурса составляет не более 50 календарных дней со дня начала приема документов СОНКО, указанного в объявлении о проведении конкурса. Срок проведения конкурса может быть продлен организатором конкурса до 70 календарных дней.</w:t>
      </w:r>
    </w:p>
    <w:p w:rsidR="00676646" w:rsidRDefault="00676646">
      <w:pPr>
        <w:pStyle w:val="ConsPlusNormal"/>
        <w:jc w:val="both"/>
      </w:pPr>
      <w:r>
        <w:t xml:space="preserve">(часть 25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 xml:space="preserve">26. Протоколы конкурсной комиссии размещаются на официальном сайте исполнительных </w:t>
      </w:r>
      <w:r>
        <w:lastRenderedPageBreak/>
        <w:t>органов государственной власти Камчатского края в сети "Интернет" (www.kamchatka.gov.ru), в разделе "Исполнительная власть", на странице организатора конкурса не позднее 3-х рабочих дней со дня окончания заседания конкурсной комиссии.</w:t>
      </w:r>
    </w:p>
    <w:p w:rsidR="00676646" w:rsidRDefault="00676646">
      <w:pPr>
        <w:pStyle w:val="ConsPlusNormal"/>
        <w:jc w:val="both"/>
      </w:pPr>
      <w:r>
        <w:t xml:space="preserve">(часть 26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76646" w:rsidRDefault="00676646">
      <w:pPr>
        <w:pStyle w:val="ConsPlusNormal"/>
        <w:spacing w:before="220"/>
        <w:ind w:firstLine="540"/>
        <w:jc w:val="both"/>
      </w:pPr>
      <w:r>
        <w:t>27. Документы, поступившие на конкурс от СОНКО, не возвращаются и не рецензируются.</w:t>
      </w:r>
    </w:p>
    <w:p w:rsidR="00676646" w:rsidRDefault="00676646">
      <w:pPr>
        <w:pStyle w:val="ConsPlusNormal"/>
        <w:ind w:firstLine="540"/>
        <w:jc w:val="both"/>
      </w:pPr>
    </w:p>
    <w:p w:rsidR="00676646" w:rsidRDefault="00676646">
      <w:pPr>
        <w:pStyle w:val="ConsPlusNormal"/>
        <w:ind w:firstLine="540"/>
        <w:jc w:val="both"/>
      </w:pPr>
    </w:p>
    <w:p w:rsidR="00676646" w:rsidRDefault="00676646">
      <w:pPr>
        <w:pStyle w:val="ConsPlusNormal"/>
        <w:ind w:firstLine="540"/>
        <w:jc w:val="both"/>
      </w:pPr>
      <w:bookmarkStart w:id="7" w:name="_GoBack"/>
      <w:bookmarkEnd w:id="7"/>
    </w:p>
    <w:sectPr w:rsidR="00676646" w:rsidSect="0050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6"/>
    <w:rsid w:val="00676646"/>
    <w:rsid w:val="009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7258-7D54-4D4A-824F-E4E0AC59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7924C914AF48BD937E2282D2BE3750A1E919D9C9C6CC9225EF2159BBF86722FFB4A30DAC1CD95C935B297lDv0X" TargetMode="External"/><Relationship Id="rId13" Type="http://schemas.openxmlformats.org/officeDocument/2006/relationships/hyperlink" Target="consultantplus://offline/ref=E4B7924C914AF48BD937E2282D2BE3750A1E919D9C9D6BCE2355F2159BBF86722FFB4A30DAC1CD95C935B29ElDv3X" TargetMode="External"/><Relationship Id="rId18" Type="http://schemas.openxmlformats.org/officeDocument/2006/relationships/hyperlink" Target="consultantplus://offline/ref=E4B7924C914AF48BD937E2282D2BE3750A1E919D9C9D69CB235FF2159BBF86722FFB4A30DAC1CD95C935B396lDv8X" TargetMode="External"/><Relationship Id="rId26" Type="http://schemas.openxmlformats.org/officeDocument/2006/relationships/hyperlink" Target="consultantplus://offline/ref=E4B7924C914AF48BD937E2282D2BE3750A1E919D9C9B60CD2254F2159BBF86722FFB4A30DAC1CD95C935B297lDv8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B7924C914AF48BD937E2282D2BE3750A1E919D9C9D6ACA255DF2159BBF86722FFB4A30DAC1CD95C935B296lDv8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4B7924C914AF48BD937E2282D2BE3750A1E919D9C9C6BC6275DF2159BBF86722FFB4A30DAC1CD95C935B296lDv5X" TargetMode="External"/><Relationship Id="rId12" Type="http://schemas.openxmlformats.org/officeDocument/2006/relationships/hyperlink" Target="consultantplus://offline/ref=E4B7924C914AF48BD937FC253B47BF710E15CE939D9D62997C09F442C4EF80276FBB4C659Al8v0X" TargetMode="External"/><Relationship Id="rId17" Type="http://schemas.openxmlformats.org/officeDocument/2006/relationships/hyperlink" Target="consultantplus://offline/ref=E4B7924C914AF48BD937E2282D2BE3750A1E919D9C9D68CB255BF2159BBF86722FFB4A30DAC1CD95C93DB191lDv0X" TargetMode="External"/><Relationship Id="rId25" Type="http://schemas.openxmlformats.org/officeDocument/2006/relationships/hyperlink" Target="consultantplus://offline/ref=E4B7924C914AF48BD937E2282D2BE3750A1E919D9C9B60CD2254F2159BBF86722FFB4A30DAC1CD95C935B297lDv6X" TargetMode="External"/><Relationship Id="rId33" Type="http://schemas.openxmlformats.org/officeDocument/2006/relationships/hyperlink" Target="consultantplus://offline/ref=E4B7924C914AF48BD937E2282D2BE3750A1E919D9C9C6BC6275DF2159BBF86722FFB4A30DAC1CD95C935B296lDv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B7924C914AF48BD937E2282D2BE3750A1E919D9C9B60CD2254F2159BBF86722FFB4A30DAC1CD95C935B296lDv9X" TargetMode="External"/><Relationship Id="rId20" Type="http://schemas.openxmlformats.org/officeDocument/2006/relationships/hyperlink" Target="consultantplus://offline/ref=E4B7924C914AF48BD937E2282D2BE3750A1E919D9C9D6BCD225EF2159BBF86722FFB4A30DAC1CD95CD30B495lDv0X" TargetMode="External"/><Relationship Id="rId29" Type="http://schemas.openxmlformats.org/officeDocument/2006/relationships/hyperlink" Target="consultantplus://offline/ref=E4B7924C914AF48BD937E2282D2BE3750A1E919D9C9B6FCA255CF2159BBF86722FFB4A30DAC1CD95C935B296lDv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7924C914AF48BD937E2282D2BE3750A1E919D9C9B60CD2254F2159BBF86722FFB4A30DAC1CD95C935B296lDv8X" TargetMode="External"/><Relationship Id="rId11" Type="http://schemas.openxmlformats.org/officeDocument/2006/relationships/hyperlink" Target="consultantplus://offline/ref=E4B7924C914AF48BD937E2282D2BE3750A1E919D9C9D6BCE2355F2159BBF86722FFB4A30DAC1CD95C935B29ElDv3X" TargetMode="External"/><Relationship Id="rId24" Type="http://schemas.openxmlformats.org/officeDocument/2006/relationships/hyperlink" Target="consultantplus://offline/ref=E4B7924C914AF48BD937E2282D2BE3750A1E919D9C9B60CD2254F2159BBF86722FFB4A30DAC1CD95C935B297lDv5X" TargetMode="External"/><Relationship Id="rId32" Type="http://schemas.openxmlformats.org/officeDocument/2006/relationships/hyperlink" Target="consultantplus://offline/ref=E4B7924C914AF48BD937E2282D2BE3750A1E919D9C9C6BC6275DF2159BBF86722FFB4A30DAC1CD95C935B296lDv8X" TargetMode="External"/><Relationship Id="rId5" Type="http://schemas.openxmlformats.org/officeDocument/2006/relationships/hyperlink" Target="consultantplus://offline/ref=E4B7924C914AF48BD937E2282D2BE3750A1E919D9C9B6FCA255CF2159BBF86722FFB4A30DAC1CD95C935B296lDv5X" TargetMode="External"/><Relationship Id="rId15" Type="http://schemas.openxmlformats.org/officeDocument/2006/relationships/hyperlink" Target="consultantplus://offline/ref=E4B7924C914AF48BD937E2282D2BE3750A1E919D9C9B60CD2254F2159BBF86722FFB4A30DAC1CD95C935B296lDv9X" TargetMode="External"/><Relationship Id="rId23" Type="http://schemas.openxmlformats.org/officeDocument/2006/relationships/hyperlink" Target="consultantplus://offline/ref=E4B7924C914AF48BD937E2282D2BE3750A1E919D9C9D6ACA275CF2159BBF86722FFB4A30DAC1CD95C935B291lDv6X" TargetMode="External"/><Relationship Id="rId28" Type="http://schemas.openxmlformats.org/officeDocument/2006/relationships/hyperlink" Target="consultantplus://offline/ref=E4B7924C914AF48BD937E2282D2BE3750A1E919D9C9C61CB275FF2159BBF86722FFB4A30DAC1CD95C935B296lDv9X" TargetMode="External"/><Relationship Id="rId10" Type="http://schemas.openxmlformats.org/officeDocument/2006/relationships/hyperlink" Target="consultantplus://offline/ref=E4B7924C914AF48BD937FC253B47BF710E15CE939D9D62997C09F442C4EF80276FBB4C659Al8v0X" TargetMode="External"/><Relationship Id="rId19" Type="http://schemas.openxmlformats.org/officeDocument/2006/relationships/hyperlink" Target="consultantplus://offline/ref=E4B7924C914AF48BD937E2282D2BE3750A1E919D9C9D6BCF265EF2159BBF86722FFB4A30DAC1CD95CA36B590lDv1X" TargetMode="External"/><Relationship Id="rId31" Type="http://schemas.openxmlformats.org/officeDocument/2006/relationships/hyperlink" Target="consultantplus://offline/ref=E4B7924C914AF48BD937E2282D2BE3750A1E919D9C9B60CD2254F2159BBF86722FFB4A30DAC1CD95C935B294lDv0X" TargetMode="External"/><Relationship Id="rId4" Type="http://schemas.openxmlformats.org/officeDocument/2006/relationships/hyperlink" Target="consultantplus://offline/ref=E4B7924C914AF48BD937E2282D2BE3750A1E919D9C9B6DCC2455F2159BBF86722FFB4A30DAC1CD95C935B296lDv8X" TargetMode="External"/><Relationship Id="rId9" Type="http://schemas.openxmlformats.org/officeDocument/2006/relationships/hyperlink" Target="consultantplus://offline/ref=E4B7924C914AF48BD937E2282D2BE3750A1E919D9C9C61CB275FF2159BBF86722FFB4A30DAC1CD95C935B296lDv7X" TargetMode="External"/><Relationship Id="rId14" Type="http://schemas.openxmlformats.org/officeDocument/2006/relationships/hyperlink" Target="consultantplus://offline/ref=E4B7924C914AF48BD937E2282D2BE3750A1E919D9C9B60CD2254F2159BBF86722FFB4A30DAC1CD95C935B296lDv9X" TargetMode="External"/><Relationship Id="rId22" Type="http://schemas.openxmlformats.org/officeDocument/2006/relationships/hyperlink" Target="consultantplus://offline/ref=E4B7924C914AF48BD937E2282D2BE3750A1E919D9C9C6BC6275DF2159BBF86722FFB4A30DAC1CD95C935B296lDv6X" TargetMode="External"/><Relationship Id="rId27" Type="http://schemas.openxmlformats.org/officeDocument/2006/relationships/hyperlink" Target="consultantplus://offline/ref=E4B7924C914AF48BD937E2282D2BE3750A1E919D9C9C61CB275FF2159BBF86722FFB4A30DAC1CD95C935B296lDv9X" TargetMode="External"/><Relationship Id="rId30" Type="http://schemas.openxmlformats.org/officeDocument/2006/relationships/hyperlink" Target="consultantplus://offline/ref=E4B7924C914AF48BD937E2282D2BE3750A1E919D9C9C6BC6275DF2159BBF86722FFB4A30DAC1CD95C935B296lDv7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Юлия Валерьевна</dc:creator>
  <cp:keywords/>
  <dc:description/>
  <cp:lastModifiedBy>Сидоренко Юлия Валерьевна</cp:lastModifiedBy>
  <cp:revision>1</cp:revision>
  <dcterms:created xsi:type="dcterms:W3CDTF">2017-11-20T23:47:00Z</dcterms:created>
  <dcterms:modified xsi:type="dcterms:W3CDTF">2017-11-20T23:49:00Z</dcterms:modified>
</cp:coreProperties>
</file>