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01/02/02-18/00006271</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приказ Агентства инвестиций и предпринимательства Камчатского края от 05.07.2017 № 72-п «Об утверждении Порядка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проверки Министрества юситиций Российской Федерации по Камчатскому краю выявлен ряд заменчаний коррупциогенного характера и замечания правого и юридико-технического характера. По результатам внутренней проверки выявлены несоответствия требованиям действующего законодательства Российской федерации и замечания правого и юридико-технического характера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Экспертное заключение на приказ Агентства инвестиций и предпринимательства Камчатского края от 23.08.2017 № 115-п «Об утверждении Порядка предоставления субсидий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предоставленное Министреством юситиций Российской Федерации по Камчатскому краю. Приказ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 № 209-ФЗ «О развитии малого и среднего предпринимательства в Российской Федерации».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 – поддержка и развитие в Камчатском крае деятельности в области обрабатывающих производств.</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 порядке предоставления субсидий субъектам малого и среднего предпринимательства в целях возмещения части затрат, связанных с осуществлением деятельности в области обрабатывающих производств уточнен перечень имущества на финансирование которого предоставляется субсидия. - Уточнен действующий Общероссийский классификатор видов экономической деятельности,  а также исключен вид деятельности за кодом 10.20 Общероссийского классификатора видов экономической деятельности (ОК 029-2014 (КДЕС Ред. 2) из видов деятельности, осуществляемых заявителем, согласно которым предоставляется субсидия. - Добавлено условие об оценке финансово-экономического обоснования по осуществлению деятельности в области обрабатывающих производств, согласно критериям, </w:t>
            </w:r>
            <w:r w:rsidRPr="00253EAD">
              <w:rPr>
                <w:rFonts w:ascii="Times New Roman" w:hAnsi="Times New Roman" w:cs="Times New Roman"/>
                <w:sz w:val="28"/>
                <w:szCs w:val="28"/>
              </w:rPr>
              <w:lastRenderedPageBreak/>
              <w:t>утвержденным Агентством инвестиций и предпринимательства Камчатского края. - Исключено обязательство о сохранении общего количества рабочих мест у СМСП на период действия договора о предоставлении субсидии (при наличии рабочих мест), либо создании одного рабочего места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 - Уточнен порядок регистрации заявлений на предоставление субсидий. - Уточнено требование о сроке предоставления в КГАУ «Камчатский центр поддержки предпринимательства» сведений, указанных в части 12 порядка предоставления субсидии от Агентства инвестиций и предпринимательства Камчатского края на основании запроса, а именно со дня поступления запроса. -Скоректирована нумерация пунктов с условиями в порядке предоставления субсидии. - Исключена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в связи с отсутствием в необходмости реализации данного требования. - Исключено условие о сроке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в связи с отсутствием в необходмости реализации данного требования.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Скорректирована форма финансово-экономического обоснования приобретения имущества.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области обрабатывающих производств. 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lastRenderedPageBreak/>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 xml:space="preserve">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w:t>
            </w:r>
            <w:r>
              <w:rPr>
                <w:rFonts w:ascii="Times New Roman" w:hAnsi="Times New Roman" w:cs="Times New Roman"/>
                <w:sz w:val="28"/>
                <w:szCs w:val="28"/>
                <w:lang w:val="en-US"/>
              </w:rPr>
              <w:lastRenderedPageBreak/>
              <w:t>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lastRenderedPageBreak/>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lastRenderedPageBreak/>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lastRenderedPageBreak/>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О.В. Герасимова</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1F" w:rsidRDefault="00374D1F" w:rsidP="00EA7CC1">
      <w:pPr>
        <w:spacing w:after="0" w:line="240" w:lineRule="auto"/>
      </w:pPr>
      <w:r>
        <w:separator/>
      </w:r>
    </w:p>
  </w:endnote>
  <w:endnote w:type="continuationSeparator" w:id="0">
    <w:p w:rsidR="00374D1F" w:rsidRDefault="00374D1F"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1F" w:rsidRDefault="00374D1F" w:rsidP="00EA7CC1">
      <w:pPr>
        <w:spacing w:after="0" w:line="240" w:lineRule="auto"/>
      </w:pPr>
      <w:r>
        <w:separator/>
      </w:r>
    </w:p>
  </w:footnote>
  <w:footnote w:type="continuationSeparator" w:id="0">
    <w:p w:rsidR="00374D1F" w:rsidRDefault="00374D1F"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4D1F"/>
    <w:rsid w:val="003764D7"/>
    <w:rsid w:val="00384CAC"/>
    <w:rsid w:val="00385B74"/>
    <w:rsid w:val="0038753F"/>
    <w:rsid w:val="0039010E"/>
    <w:rsid w:val="0039529B"/>
    <w:rsid w:val="003A11BE"/>
    <w:rsid w:val="003D7356"/>
    <w:rsid w:val="003E428F"/>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0AD2A-99FB-4F77-A089-C94DE993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4143-A1B6-49CF-B7C7-B189E645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2994</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2018-02-15T05:35:00Z</dcterms:created>
  <dcterms:modified xsi:type="dcterms:W3CDTF">2018-02-15T05:35:00Z</dcterms:modified>
</cp:coreProperties>
</file>