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0"/>
        <w:gridCol w:w="180"/>
      </w:tblGrid>
      <w:tr w:rsidR="00E97046" w:rsidRPr="00E97046" w:rsidTr="00E97046">
        <w:tc>
          <w:tcPr>
            <w:tcW w:w="5000" w:type="pct"/>
            <w:shd w:val="clear" w:color="auto" w:fill="F4F7FE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97046" w:rsidRPr="00E97046" w:rsidRDefault="00E97046" w:rsidP="00E97046">
            <w:pPr>
              <w:spacing w:before="100" w:beforeAutospacing="1" w:after="100" w:afterAutospacing="1" w:line="257" w:lineRule="atLeast"/>
              <w:outlineLvl w:val="0"/>
              <w:rPr>
                <w:rFonts w:ascii="Verdana" w:eastAsia="Times New Roman" w:hAnsi="Verdana" w:cs="Tahoma"/>
                <w:b/>
                <w:bCs/>
                <w:color w:val="CC0000"/>
                <w:kern w:val="36"/>
                <w:sz w:val="26"/>
                <w:szCs w:val="26"/>
                <w:lang w:eastAsia="ru-RU"/>
              </w:rPr>
            </w:pPr>
            <w:proofErr w:type="spellStart"/>
            <w:r w:rsidRPr="00E97046">
              <w:rPr>
                <w:rFonts w:ascii="Verdana" w:eastAsia="Times New Roman" w:hAnsi="Verdana" w:cs="Tahoma"/>
                <w:b/>
                <w:bCs/>
                <w:color w:val="CC0000"/>
                <w:kern w:val="36"/>
                <w:sz w:val="26"/>
                <w:szCs w:val="26"/>
                <w:lang w:eastAsia="ru-RU"/>
              </w:rPr>
              <w:t>Листериоз</w:t>
            </w:r>
            <w:proofErr w:type="spellEnd"/>
            <w:r w:rsidRPr="00E97046">
              <w:rPr>
                <w:rFonts w:ascii="Verdana" w:eastAsia="Times New Roman" w:hAnsi="Verdana" w:cs="Tahoma"/>
                <w:b/>
                <w:bCs/>
                <w:color w:val="CC0000"/>
                <w:kern w:val="36"/>
                <w:sz w:val="26"/>
                <w:szCs w:val="26"/>
                <w:lang w:eastAsia="ru-RU"/>
              </w:rPr>
              <w:t>. Санитарные правила СП 3.1.088-96 Ветеринарные правила. ВП 13.4.1311-96"</w:t>
            </w:r>
          </w:p>
        </w:tc>
        <w:tc>
          <w:tcPr>
            <w:tcW w:w="5000" w:type="pct"/>
            <w:shd w:val="clear" w:color="auto" w:fill="FFFFFF"/>
            <w:vAlign w:val="bottom"/>
            <w:hideMark/>
          </w:tcPr>
          <w:p w:rsidR="00E97046" w:rsidRPr="00E97046" w:rsidRDefault="00E97046" w:rsidP="00E9704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1A5DA0"/>
                <w:sz w:val="20"/>
                <w:szCs w:val="20"/>
                <w:lang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1" name="Рисунок 1" descr="Версия для печати">
                    <a:hlinkClick xmlns:a="http://schemas.openxmlformats.org/drawingml/2006/main" r:id="rId6" tgtFrame="&quot;_blank&quot;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6" tgtFrame="&quot;_blank&quot;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7046" w:rsidRPr="00E97046" w:rsidRDefault="00E97046" w:rsidP="00E970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97046" w:rsidRPr="00E97046" w:rsidTr="00E97046">
        <w:tc>
          <w:tcPr>
            <w:tcW w:w="0" w:type="auto"/>
            <w:shd w:val="clear" w:color="auto" w:fill="FFFFFF"/>
            <w:hideMark/>
          </w:tcPr>
          <w:p w:rsidR="00E97046" w:rsidRPr="00E97046" w:rsidRDefault="00E97046" w:rsidP="00E97046">
            <w:pPr>
              <w:spacing w:before="100" w:beforeAutospacing="1" w:after="100" w:afterAutospacing="1" w:line="215" w:lineRule="atLeast"/>
              <w:outlineLvl w:val="1"/>
              <w:rPr>
                <w:rFonts w:ascii="Verdana" w:eastAsia="Times New Roman" w:hAnsi="Verdana" w:cs="Tahoma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E97046">
              <w:rPr>
                <w:rFonts w:ascii="Verdana" w:eastAsia="Times New Roman" w:hAnsi="Verdana" w:cs="Tahoma"/>
                <w:b/>
                <w:bCs/>
                <w:color w:val="666666"/>
                <w:sz w:val="21"/>
                <w:szCs w:val="21"/>
                <w:lang w:eastAsia="ru-RU"/>
              </w:rPr>
              <w:t>Профилактика и борьба с заразными болезнями, общими для человека и животных</w:t>
            </w:r>
            <w:r w:rsidRPr="00E97046">
              <w:rPr>
                <w:rFonts w:ascii="Verdana" w:eastAsia="Times New Roman" w:hAnsi="Verdana" w:cs="Tahoma"/>
                <w:b/>
                <w:bCs/>
                <w:color w:val="666666"/>
                <w:sz w:val="21"/>
                <w:szCs w:val="21"/>
                <w:lang w:eastAsia="ru-RU"/>
              </w:rPr>
              <w:br/>
            </w:r>
            <w:proofErr w:type="spellStart"/>
            <w:r w:rsidRPr="00E97046">
              <w:rPr>
                <w:rFonts w:ascii="Verdana" w:eastAsia="Times New Roman" w:hAnsi="Verdana" w:cs="Tahoma"/>
                <w:b/>
                <w:bCs/>
                <w:color w:val="666666"/>
                <w:sz w:val="21"/>
                <w:szCs w:val="21"/>
                <w:lang w:eastAsia="ru-RU"/>
              </w:rPr>
              <w:t>Листериоз</w:t>
            </w:r>
            <w:proofErr w:type="spellEnd"/>
          </w:p>
          <w:p w:rsidR="00E97046" w:rsidRPr="00E97046" w:rsidRDefault="00E97046" w:rsidP="00E97046">
            <w:pPr>
              <w:spacing w:after="0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97046" w:rsidRPr="00E97046" w:rsidRDefault="00E97046" w:rsidP="00E97046">
            <w:pPr>
              <w:spacing w:before="100" w:beforeAutospacing="1" w:after="100" w:afterAutospacing="1" w:line="195" w:lineRule="atLeast"/>
              <w:outlineLvl w:val="2"/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>Содержание</w:t>
            </w:r>
          </w:p>
          <w:p w:rsidR="00E97046" w:rsidRPr="00E97046" w:rsidRDefault="00E97046" w:rsidP="00E970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Раздел I. </w:t>
            </w:r>
            <w:hyperlink r:id="rId8" w:anchor="1" w:history="1">
              <w:r w:rsidRPr="00E97046">
                <w:rPr>
                  <w:rFonts w:ascii="Tahoma" w:eastAsia="Times New Roman" w:hAnsi="Tahoma" w:cs="Tahoma"/>
                  <w:color w:val="1A5DA0"/>
                  <w:sz w:val="20"/>
                  <w:szCs w:val="20"/>
                  <w:u w:val="single"/>
                  <w:lang w:eastAsia="ru-RU"/>
                </w:rPr>
                <w:t xml:space="preserve">Профилактика и борьба с заразными болезнями, общими для человека и животных. </w:t>
              </w:r>
              <w:proofErr w:type="spellStart"/>
              <w:r w:rsidRPr="00E97046">
                <w:rPr>
                  <w:rFonts w:ascii="Tahoma" w:eastAsia="Times New Roman" w:hAnsi="Tahoma" w:cs="Tahoma"/>
                  <w:color w:val="1A5DA0"/>
                  <w:sz w:val="20"/>
                  <w:szCs w:val="20"/>
                  <w:u w:val="single"/>
                  <w:lang w:eastAsia="ru-RU"/>
                </w:rPr>
                <w:t>Листериоз</w:t>
              </w:r>
              <w:proofErr w:type="spellEnd"/>
            </w:hyperlink>
          </w:p>
          <w:p w:rsidR="00E97046" w:rsidRPr="00E97046" w:rsidRDefault="00E97046" w:rsidP="00E9704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Часть 1. </w:t>
            </w:r>
            <w:hyperlink r:id="rId9" w:anchor="2" w:history="1">
              <w:r w:rsidRPr="00E97046">
                <w:rPr>
                  <w:rFonts w:ascii="Tahoma" w:eastAsia="Times New Roman" w:hAnsi="Tahoma" w:cs="Tahoma"/>
                  <w:color w:val="1A5DA0"/>
                  <w:sz w:val="20"/>
                  <w:szCs w:val="20"/>
                  <w:u w:val="single"/>
                  <w:lang w:eastAsia="ru-RU"/>
                </w:rPr>
                <w:t>Область применения</w:t>
              </w:r>
            </w:hyperlink>
          </w:p>
          <w:p w:rsidR="00E97046" w:rsidRPr="00E97046" w:rsidRDefault="00E97046" w:rsidP="00E9704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Часть 2. </w:t>
            </w:r>
            <w:hyperlink r:id="rId10" w:anchor="3" w:history="1">
              <w:r w:rsidRPr="00E97046">
                <w:rPr>
                  <w:rFonts w:ascii="Tahoma" w:eastAsia="Times New Roman" w:hAnsi="Tahoma" w:cs="Tahoma"/>
                  <w:color w:val="1A5DA0"/>
                  <w:sz w:val="20"/>
                  <w:szCs w:val="20"/>
                  <w:u w:val="single"/>
                  <w:lang w:eastAsia="ru-RU"/>
                </w:rPr>
                <w:t>Нормативные ссылки</w:t>
              </w:r>
            </w:hyperlink>
          </w:p>
          <w:p w:rsidR="00E97046" w:rsidRPr="00E97046" w:rsidRDefault="00E97046" w:rsidP="00E9704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Часть 3. </w:t>
            </w:r>
            <w:hyperlink r:id="rId11" w:anchor="4" w:history="1">
              <w:r w:rsidRPr="00E97046">
                <w:rPr>
                  <w:rFonts w:ascii="Tahoma" w:eastAsia="Times New Roman" w:hAnsi="Tahoma" w:cs="Tahoma"/>
                  <w:color w:val="1A5DA0"/>
                  <w:sz w:val="20"/>
                  <w:szCs w:val="20"/>
                  <w:u w:val="single"/>
                  <w:lang w:eastAsia="ru-RU"/>
                </w:rPr>
                <w:t xml:space="preserve">Общие сведения о </w:t>
              </w:r>
              <w:proofErr w:type="spellStart"/>
              <w:r w:rsidRPr="00E97046">
                <w:rPr>
                  <w:rFonts w:ascii="Tahoma" w:eastAsia="Times New Roman" w:hAnsi="Tahoma" w:cs="Tahoma"/>
                  <w:color w:val="1A5DA0"/>
                  <w:sz w:val="20"/>
                  <w:szCs w:val="20"/>
                  <w:u w:val="single"/>
                  <w:lang w:eastAsia="ru-RU"/>
                </w:rPr>
                <w:t>листериозе</w:t>
              </w:r>
              <w:proofErr w:type="spellEnd"/>
            </w:hyperlink>
          </w:p>
          <w:p w:rsidR="00E97046" w:rsidRPr="00E97046" w:rsidRDefault="00E97046" w:rsidP="00E9704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Часть 4. </w:t>
            </w:r>
            <w:hyperlink r:id="rId12" w:anchor="5" w:history="1">
              <w:r w:rsidRPr="00E97046">
                <w:rPr>
                  <w:rFonts w:ascii="Tahoma" w:eastAsia="Times New Roman" w:hAnsi="Tahoma" w:cs="Tahoma"/>
                  <w:color w:val="1A5DA0"/>
                  <w:sz w:val="20"/>
                  <w:szCs w:val="20"/>
                  <w:u w:val="single"/>
                  <w:lang w:eastAsia="ru-RU"/>
                </w:rPr>
                <w:t xml:space="preserve">Профилактика </w:t>
              </w:r>
              <w:proofErr w:type="spellStart"/>
              <w:r w:rsidRPr="00E97046">
                <w:rPr>
                  <w:rFonts w:ascii="Tahoma" w:eastAsia="Times New Roman" w:hAnsi="Tahoma" w:cs="Tahoma"/>
                  <w:color w:val="1A5DA0"/>
                  <w:sz w:val="20"/>
                  <w:szCs w:val="20"/>
                  <w:u w:val="single"/>
                  <w:lang w:eastAsia="ru-RU"/>
                </w:rPr>
                <w:t>листериоза</w:t>
              </w:r>
              <w:proofErr w:type="spellEnd"/>
              <w:r w:rsidRPr="00E97046">
                <w:rPr>
                  <w:rFonts w:ascii="Tahoma" w:eastAsia="Times New Roman" w:hAnsi="Tahoma" w:cs="Tahoma"/>
                  <w:color w:val="1A5DA0"/>
                  <w:sz w:val="20"/>
                  <w:szCs w:val="20"/>
                  <w:u w:val="single"/>
                  <w:lang w:eastAsia="ru-RU"/>
                </w:rPr>
                <w:t xml:space="preserve"> у животных</w:t>
              </w:r>
            </w:hyperlink>
          </w:p>
          <w:p w:rsidR="00E97046" w:rsidRPr="00E97046" w:rsidRDefault="00E97046" w:rsidP="00E9704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Часть 5. </w:t>
            </w:r>
            <w:hyperlink r:id="rId13" w:anchor="6" w:history="1">
              <w:r w:rsidRPr="00E97046">
                <w:rPr>
                  <w:rFonts w:ascii="Tahoma" w:eastAsia="Times New Roman" w:hAnsi="Tahoma" w:cs="Tahoma"/>
                  <w:color w:val="1A5DA0"/>
                  <w:sz w:val="20"/>
                  <w:szCs w:val="20"/>
                  <w:u w:val="single"/>
                  <w:lang w:eastAsia="ru-RU"/>
                </w:rPr>
                <w:t xml:space="preserve">Оздоровление </w:t>
              </w:r>
              <w:proofErr w:type="gramStart"/>
              <w:r w:rsidRPr="00E97046">
                <w:rPr>
                  <w:rFonts w:ascii="Tahoma" w:eastAsia="Times New Roman" w:hAnsi="Tahoma" w:cs="Tahoma"/>
                  <w:color w:val="1A5DA0"/>
                  <w:sz w:val="20"/>
                  <w:szCs w:val="20"/>
                  <w:u w:val="single"/>
                  <w:lang w:eastAsia="ru-RU"/>
                </w:rPr>
                <w:t>неблагополучных</w:t>
              </w:r>
              <w:proofErr w:type="gramEnd"/>
              <w:r w:rsidRPr="00E97046">
                <w:rPr>
                  <w:rFonts w:ascii="Tahoma" w:eastAsia="Times New Roman" w:hAnsi="Tahoma" w:cs="Tahoma"/>
                  <w:color w:val="1A5DA0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E97046">
                <w:rPr>
                  <w:rFonts w:ascii="Tahoma" w:eastAsia="Times New Roman" w:hAnsi="Tahoma" w:cs="Tahoma"/>
                  <w:color w:val="1A5DA0"/>
                  <w:sz w:val="20"/>
                  <w:szCs w:val="20"/>
                  <w:u w:val="single"/>
                  <w:lang w:eastAsia="ru-RU"/>
                </w:rPr>
                <w:t>хозяйст</w:t>
              </w:r>
              <w:proofErr w:type="spellEnd"/>
            </w:hyperlink>
          </w:p>
          <w:p w:rsidR="00E97046" w:rsidRPr="00E97046" w:rsidRDefault="00E97046" w:rsidP="00E9704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Часть 6. </w:t>
            </w:r>
            <w:hyperlink r:id="rId14" w:anchor="7" w:history="1">
              <w:r w:rsidRPr="00E97046">
                <w:rPr>
                  <w:rFonts w:ascii="Tahoma" w:eastAsia="Times New Roman" w:hAnsi="Tahoma" w:cs="Tahoma"/>
                  <w:color w:val="1A5DA0"/>
                  <w:sz w:val="20"/>
                  <w:szCs w:val="20"/>
                  <w:u w:val="single"/>
                  <w:lang w:eastAsia="ru-RU"/>
                </w:rPr>
                <w:t xml:space="preserve">Профилактика </w:t>
              </w:r>
              <w:proofErr w:type="spellStart"/>
              <w:r w:rsidRPr="00E97046">
                <w:rPr>
                  <w:rFonts w:ascii="Tahoma" w:eastAsia="Times New Roman" w:hAnsi="Tahoma" w:cs="Tahoma"/>
                  <w:color w:val="1A5DA0"/>
                  <w:sz w:val="20"/>
                  <w:szCs w:val="20"/>
                  <w:u w:val="single"/>
                  <w:lang w:eastAsia="ru-RU"/>
                </w:rPr>
                <w:t>листериоза</w:t>
              </w:r>
              <w:proofErr w:type="spellEnd"/>
              <w:r w:rsidRPr="00E97046">
                <w:rPr>
                  <w:rFonts w:ascii="Tahoma" w:eastAsia="Times New Roman" w:hAnsi="Tahoma" w:cs="Tahoma"/>
                  <w:color w:val="1A5DA0"/>
                  <w:sz w:val="20"/>
                  <w:szCs w:val="20"/>
                  <w:u w:val="single"/>
                  <w:lang w:eastAsia="ru-RU"/>
                </w:rPr>
                <w:t xml:space="preserve"> у людей</w:t>
              </w:r>
            </w:hyperlink>
          </w:p>
          <w:p w:rsidR="00E97046" w:rsidRPr="00E97046" w:rsidRDefault="00E97046" w:rsidP="00E97046">
            <w:pPr>
              <w:spacing w:after="0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  <w:tbl>
            <w:tblPr>
              <w:tblW w:w="87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"/>
              <w:gridCol w:w="8593"/>
            </w:tblGrid>
            <w:tr w:rsidR="00E97046" w:rsidRPr="00E97046" w:rsidTr="00E9704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97046" w:rsidRPr="00E97046" w:rsidRDefault="00E97046" w:rsidP="00E97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97046" w:rsidRPr="00E97046" w:rsidRDefault="00E97046" w:rsidP="00E970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Начальник Департамента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ветеринарии Министерства сельского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хозяйства и продовольствия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Российской Федерации - Главный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государственный ветеринарный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инспектор Российской Федерации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В.М.АВИЛОВ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 18 июня 1996 г. N 23</w:t>
                  </w:r>
                </w:p>
              </w:tc>
            </w:tr>
          </w:tbl>
          <w:p w:rsidR="00E97046" w:rsidRPr="00E97046" w:rsidRDefault="00E97046" w:rsidP="00E97046">
            <w:pPr>
              <w:spacing w:after="0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</w:p>
          <w:tbl>
            <w:tblPr>
              <w:tblW w:w="87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"/>
              <w:gridCol w:w="8589"/>
            </w:tblGrid>
            <w:tr w:rsidR="00E97046" w:rsidRPr="00E97046" w:rsidTr="00E9704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97046" w:rsidRPr="00E97046" w:rsidRDefault="00E97046" w:rsidP="00E97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97046" w:rsidRPr="00E97046" w:rsidRDefault="00E97046" w:rsidP="00E970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Первый заместитель Председателя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Госкомсанэпиднадзора России -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Заместитель Главного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государственного санитарного врача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Российской Федерации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С.В.СЕМЕНОВ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 31 мая 1996 г. N 11</w:t>
                  </w:r>
                </w:p>
              </w:tc>
            </w:tr>
          </w:tbl>
          <w:p w:rsidR="00E97046" w:rsidRPr="00E97046" w:rsidRDefault="00E97046" w:rsidP="00E97046">
            <w:pPr>
              <w:spacing w:after="0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</w:p>
          <w:tbl>
            <w:tblPr>
              <w:tblW w:w="87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8534"/>
            </w:tblGrid>
            <w:tr w:rsidR="00E97046" w:rsidRPr="00E97046" w:rsidTr="00E9704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97046" w:rsidRPr="00E97046" w:rsidRDefault="00E97046" w:rsidP="00E97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97046" w:rsidRPr="00E97046" w:rsidRDefault="00E97046" w:rsidP="00E970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введения -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 момента опубликования</w:t>
                  </w:r>
                </w:p>
              </w:tc>
            </w:tr>
          </w:tbl>
          <w:p w:rsidR="00E97046" w:rsidRPr="00E97046" w:rsidRDefault="00E97046" w:rsidP="00E97046">
            <w:pPr>
              <w:spacing w:before="100" w:beforeAutospacing="1" w:after="100" w:afterAutospacing="1" w:line="195" w:lineRule="atLeast"/>
              <w:outlineLvl w:val="2"/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</w:pPr>
            <w:bookmarkStart w:id="0" w:name="1"/>
            <w:bookmarkEnd w:id="0"/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>3.1. Профилактика инфекционных болезней</w:t>
            </w:r>
          </w:p>
          <w:p w:rsidR="00E97046" w:rsidRPr="00E97046" w:rsidRDefault="00E97046" w:rsidP="00E97046">
            <w:pPr>
              <w:spacing w:before="100" w:beforeAutospacing="1" w:after="100" w:afterAutospacing="1" w:line="195" w:lineRule="atLeast"/>
              <w:outlineLvl w:val="2"/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>Профилактика и борьба с заразными болезнями, общими для человека и животных</w:t>
            </w:r>
          </w:p>
          <w:p w:rsidR="00E97046" w:rsidRPr="00E97046" w:rsidRDefault="00E97046" w:rsidP="00E97046">
            <w:pPr>
              <w:spacing w:before="100" w:beforeAutospacing="1" w:after="100" w:afterAutospacing="1" w:line="195" w:lineRule="atLeast"/>
              <w:outlineLvl w:val="2"/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>Листериоз</w:t>
            </w:r>
            <w:proofErr w:type="spellEnd"/>
          </w:p>
          <w:p w:rsidR="00E97046" w:rsidRPr="00E97046" w:rsidRDefault="00E97046" w:rsidP="00E97046">
            <w:pPr>
              <w:spacing w:before="100" w:beforeAutospacing="1" w:after="100" w:afterAutospacing="1" w:line="195" w:lineRule="atLeast"/>
              <w:outlineLvl w:val="2"/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>Санитарные правила</w:t>
            </w:r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br/>
              <w:t>СП 3.1.088-96</w:t>
            </w:r>
          </w:p>
          <w:p w:rsidR="00E97046" w:rsidRPr="00E97046" w:rsidRDefault="00E97046" w:rsidP="00E97046">
            <w:pPr>
              <w:spacing w:before="100" w:beforeAutospacing="1" w:after="100" w:afterAutospacing="1" w:line="195" w:lineRule="atLeast"/>
              <w:outlineLvl w:val="2"/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>Ветеринарные правила</w:t>
            </w:r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br/>
            </w:r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lastRenderedPageBreak/>
              <w:t>ВП 13.4.1311-96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1. Разработаны:</w:t>
            </w:r>
          </w:p>
          <w:p w:rsidR="00E97046" w:rsidRPr="00E97046" w:rsidRDefault="00E97046" w:rsidP="00E970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Центральным научно-исследовательским институтом эпидемиологии Госкомсанэпиднадзора РФ (</w:t>
            </w:r>
            <w:proofErr w:type="gram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Черкасский</w:t>
            </w:r>
            <w:proofErr w:type="gram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Б.Л., Ладный В.И., Минаева Н.З.);</w:t>
            </w:r>
          </w:p>
          <w:p w:rsidR="00E97046" w:rsidRPr="00E97046" w:rsidRDefault="00E97046" w:rsidP="00E970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Московским Городским Центром Санэпиднадзора (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Маненкова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Г.М.);</w:t>
            </w:r>
          </w:p>
          <w:p w:rsidR="00E97046" w:rsidRPr="00E97046" w:rsidRDefault="00E97046" w:rsidP="00E970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Всероссийским научно-исследовательским институтом ветеринарной вирусологии и микробиологии РАСХН (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Бакулов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И.А., Котляров В.М.).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2. Утверждены и введены в действие Заместителем Председателя Госкомсанэпиднадзора России от 31 мая 1996 г. N 11 и начальником Департамента ветеринарии Минсельхозпрода России от 18 июня 1996 г. N 23.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3. Взамен инструкции "О мероприятиях по профилактике и борьбе с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листериозом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животных" от 13.02.1987 г.</w:t>
            </w:r>
          </w:p>
          <w:p w:rsidR="00E97046" w:rsidRPr="00E97046" w:rsidRDefault="00E97046" w:rsidP="00E97046">
            <w:pPr>
              <w:spacing w:before="100" w:beforeAutospacing="1" w:after="100" w:afterAutospacing="1" w:line="195" w:lineRule="atLeast"/>
              <w:outlineLvl w:val="3"/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>Закон РСФСР "О санитарно-эпидемиологическом благополучии населения"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Санитарные правила обязательны для соблюдения всеми государственными органами и общественными объединениями, предприятиями и иными хозяйствующими субъектами, организациями и учреждениями, независимо от их подчиненности и форм собственности, должностными лицами и гражданами" (статья 3).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"Санитарным правонарушением признается посягающее на права граждан и интересы общества противоправное, виновное (умышленное или неосторожное) деяние (действие или бездействие), связанное с несоблюдением санитарного законодательства РСФСР, в том числе действующих санитарных правил...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Должностные лица и граждане РСФСР, допустившие санитарное правонарушение, могут быть привлечены к дисциплинарной, административной и уголовной ответственности" (статья 27).</w:t>
            </w:r>
          </w:p>
          <w:p w:rsidR="00E97046" w:rsidRPr="00E97046" w:rsidRDefault="00E97046" w:rsidP="00E97046">
            <w:pPr>
              <w:spacing w:before="100" w:beforeAutospacing="1" w:after="100" w:afterAutospacing="1" w:line="195" w:lineRule="atLeast"/>
              <w:outlineLvl w:val="3"/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>Закон РФ "О ветеринарии"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"Ветеринарное законодательство Российской Федерации регулирует отношения в области ветеринарии в целях защиты животных от болезней, выпуска безопасных в ветеринарном отношении продуктов животноводства и защиты населения от болезней, общих для человека и животных" (статья 2).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"Должностные лица и граждане, виновные в нарушении ветеринарного законодательства Российской Федерации, несут дисциплинарную, административную, уголовную и иную ответственность в соответствии с настоящим Законом и другими актами законодательства Российской федерации" (статья 23).</w:t>
            </w:r>
          </w:p>
          <w:p w:rsidR="00E97046" w:rsidRPr="00E97046" w:rsidRDefault="00E97046" w:rsidP="00E97046">
            <w:pPr>
              <w:spacing w:before="100" w:beforeAutospacing="1" w:after="100" w:afterAutospacing="1" w:line="195" w:lineRule="atLeast"/>
              <w:outlineLvl w:val="3"/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</w:pPr>
            <w:bookmarkStart w:id="1" w:name="2"/>
            <w:bookmarkEnd w:id="1"/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>Часть 1</w:t>
            </w:r>
          </w:p>
          <w:p w:rsidR="00E97046" w:rsidRPr="00E97046" w:rsidRDefault="00E97046" w:rsidP="00E97046">
            <w:pPr>
              <w:spacing w:before="100" w:beforeAutospacing="1" w:after="100" w:afterAutospacing="1" w:line="195" w:lineRule="atLeast"/>
              <w:outlineLvl w:val="3"/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>Область применения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1.1. Настоящие Правила обязательны для выполнения на всей территории Российской Федерации государственными органами, предприятиями и иными хозяйственными субъектами, учреждениями, организациями, общественными объединениями, независимо от их принадлежности и форм собственности, должностными лицами и гражданами в области профилактики и борьбы с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кампилобактериозом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человека и животных.</w:t>
            </w:r>
          </w:p>
          <w:p w:rsidR="00E97046" w:rsidRPr="00E97046" w:rsidRDefault="00E97046" w:rsidP="00E97046">
            <w:pPr>
              <w:spacing w:before="100" w:beforeAutospacing="1" w:after="100" w:afterAutospacing="1" w:line="195" w:lineRule="atLeast"/>
              <w:outlineLvl w:val="3"/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</w:pPr>
            <w:bookmarkStart w:id="2" w:name="3"/>
            <w:bookmarkEnd w:id="2"/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>Часть 2</w:t>
            </w:r>
          </w:p>
          <w:p w:rsidR="00E97046" w:rsidRPr="00E97046" w:rsidRDefault="00E97046" w:rsidP="00E97046">
            <w:pPr>
              <w:spacing w:before="100" w:beforeAutospacing="1" w:after="100" w:afterAutospacing="1" w:line="195" w:lineRule="atLeast"/>
              <w:outlineLvl w:val="3"/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>Нормативные ссылки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2.1. Закон РСФСР "О санитарно-эпидемиологическом благополучии населения".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2.2. Основы законодательства Российской Федерации об охране здоровья граждан.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2.3. Закон Российской Федерации "О ветеринарии".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2.4. Государственная система санитарно-эпидемиологического нормирования Российской Федерации.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2.5. Санитарно-эпидемиологические и ветеринарные правила по профилактике и борьбе с заразными </w:t>
            </w: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lastRenderedPageBreak/>
              <w:t>болезнями, общими для человека и животных.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2.6. Методические рекомендации: "Лабораторная диагностика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листериоза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животных и людей" (Москва, 1987).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2.7. Правила ветеринарного осмотра убойных животных и ветеринарно-санитарной экспертизы мяса и мясных продуктов (Москва, 1988).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2.8. Ветеринарно-санитарные правила внутрихозяйственного убоя скота на мясо.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2.9. Инструкция по проведению ветеринарной дезинфекции объектов животноводства (Москва, 1988).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2.10. Инструкция по технологическому консервированию и дезинфекции при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неспорообразующих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инфекциях и дерматомикозах кожевенного сырья композиционными составами на основе солей органических кислот (Москва, 1994).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2.11. Санитарные правила для предприятий торговли (Москва, 1986).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2.12. Санитарные правила для предприятий общественного питания (Москва, 1977).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2.13. О совершенствовании системы медицинских осмотров трудящихся и водителей индивидуальных транспортных средств (Приказ N 555 от 29.09.89 г., Минздрав, Москва).</w:t>
            </w:r>
          </w:p>
          <w:p w:rsidR="00E97046" w:rsidRPr="00E97046" w:rsidRDefault="00E97046" w:rsidP="00E97046">
            <w:pPr>
              <w:spacing w:before="100" w:beforeAutospacing="1" w:after="100" w:afterAutospacing="1" w:line="195" w:lineRule="atLeast"/>
              <w:outlineLvl w:val="3"/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</w:pPr>
            <w:bookmarkStart w:id="3" w:name="4"/>
            <w:bookmarkEnd w:id="3"/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>Часть 3</w:t>
            </w:r>
          </w:p>
          <w:p w:rsidR="00E97046" w:rsidRPr="00E97046" w:rsidRDefault="00E97046" w:rsidP="00E97046">
            <w:pPr>
              <w:spacing w:before="100" w:beforeAutospacing="1" w:after="100" w:afterAutospacing="1" w:line="195" w:lineRule="atLeast"/>
              <w:outlineLvl w:val="3"/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 xml:space="preserve">Общие сведения о </w:t>
            </w:r>
            <w:proofErr w:type="spellStart"/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>листериозе</w:t>
            </w:r>
            <w:proofErr w:type="spellEnd"/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3.1.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- инфекционная болезнь человека и животных.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3.2. Возбудитель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листериоза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Listeria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monocytogenes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- подвижная, полиморфная, грамположительная мелкая палочка (длиной 0,5-2,0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нм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; шириной 0,3-0,5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нм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) с закругленными концами.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3.3. Листерии обладают сравнительно высокой устойчивостью, широко распространены во внешней среде, при низких температурах (+4 - +6 град. С) длительное время (до нескольких лет) сохраняются в почве, воде, соломе, зерне. Размножаются в почве, воде, молоке, мясе, силосе</w:t>
            </w:r>
            <w:proofErr w:type="gram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.</w:t>
            </w:r>
            <w:proofErr w:type="gram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а</w:t>
            </w:r>
            <w:proofErr w:type="gram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также в органах трупов.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3.4. Основным резервуаром возбудителя в природе являются многие виды диких и синантропных грызунов. Листерии обнаружены у лисиц, норок, енотов, песцов, диких копытных, птиц. </w:t>
            </w:r>
            <w:proofErr w:type="spellStart"/>
            <w:proofErr w:type="gram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поражает домашних и сельскохозяйственных животных (свиней, мелкий и крупный рогатый скот, лошадей, кроликов, реже кошек и собак), а также домашнюю и декоративную птицу (гусей, кур, уток, индюшек, голубей, попугаев и канареек).</w:t>
            </w:r>
            <w:proofErr w:type="gram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Листерии обнаружены также в рыбе и продуктах моря (креветки).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3.5. При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листериозе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имеет место многообразие механизмов передачи возбудителя инфекции (</w:t>
            </w:r>
            <w:proofErr w:type="gram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фекально-оральный</w:t>
            </w:r>
            <w:proofErr w:type="gram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, контактный, аспирационный,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трансплацентарный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). </w:t>
            </w:r>
            <w:proofErr w:type="gram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Основным</w:t>
            </w:r>
            <w:proofErr w:type="gram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из которых является фекально-оральный.</w:t>
            </w:r>
          </w:p>
          <w:p w:rsidR="00E97046" w:rsidRPr="00E97046" w:rsidRDefault="00E97046" w:rsidP="00E97046">
            <w:pPr>
              <w:spacing w:before="100" w:beforeAutospacing="1" w:after="100" w:afterAutospacing="1" w:line="195" w:lineRule="atLeast"/>
              <w:outlineLvl w:val="3"/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</w:pPr>
            <w:bookmarkStart w:id="4" w:name="5"/>
            <w:bookmarkEnd w:id="4"/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>Часть 4</w:t>
            </w:r>
          </w:p>
          <w:p w:rsidR="00E97046" w:rsidRPr="00E97046" w:rsidRDefault="00E97046" w:rsidP="00E97046">
            <w:pPr>
              <w:spacing w:before="100" w:beforeAutospacing="1" w:after="100" w:afterAutospacing="1" w:line="195" w:lineRule="atLeast"/>
              <w:outlineLvl w:val="3"/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>листериоза</w:t>
            </w:r>
            <w:proofErr w:type="spellEnd"/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 xml:space="preserve"> у животных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4.1. Необходимо комплектовать фермы животными из благополучных по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листериозу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хозяйств.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4.2. </w:t>
            </w:r>
            <w:proofErr w:type="gram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Не допускать ввода вновь поступивших животных в общее стадо без предварительного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карантинирования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их в течение 30 дней.</w:t>
            </w:r>
            <w:proofErr w:type="gramEnd"/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4.3. Во время карантина при формировании новых групп в животноводческих комплексах необходимо проводить клиническое обследование животных и при необходимости (при выявлении признаков поражения нервной системы, абортов, повышенной температуры тела) - бактериологические и серологические исследования на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4.4. Систематически проводить уничтожение грызунов, кровососущих насекомых и клещей.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4.5. Для профилактики инфицирования кормов периодически проводить отлов грызунов в животноводческих помещениях, на прилегающей территории и в хранилищах кормов.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4.6. Постоянно контролировать качество кормов, особенно силоса и комбикорма, а при наличии показаний подвергать их бактериологическому исследованию.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4.7, Вести строгий учет случаев абортов, мертворождения и падежа животных и направлять патологический материал на исследование в ветлабораторию.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4.8. При маститах проводить бактериологическое исследование молока.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lastRenderedPageBreak/>
              <w:t>4.9. Забор и направление материалов на бактериологическое обследование проводится в соответствии с инструктивно-методическими документами Минсельхозпрода РФ.</w:t>
            </w:r>
          </w:p>
          <w:p w:rsidR="00E97046" w:rsidRPr="00E97046" w:rsidRDefault="00E97046" w:rsidP="00E97046">
            <w:pPr>
              <w:spacing w:before="100" w:beforeAutospacing="1" w:after="100" w:afterAutospacing="1" w:line="195" w:lineRule="atLeast"/>
              <w:outlineLvl w:val="3"/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</w:pPr>
            <w:bookmarkStart w:id="5" w:name="6"/>
            <w:bookmarkEnd w:id="5"/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>Часть 5</w:t>
            </w:r>
          </w:p>
          <w:p w:rsidR="00E97046" w:rsidRPr="00E97046" w:rsidRDefault="00E97046" w:rsidP="00E97046">
            <w:pPr>
              <w:spacing w:before="100" w:beforeAutospacing="1" w:after="100" w:afterAutospacing="1" w:line="195" w:lineRule="atLeast"/>
              <w:outlineLvl w:val="3"/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>Оздоровление неблагополучных хозяйств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5.1. При выявлении в хозяйстве (в животноводческом комплексе, на ферме, в отделении, стаде, свинарнике, индивидуальном дворе и т.д.) больных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листериозом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животных ветеринарный специалист, обслуживающий хозяйство, немедленно сообщает об этом руководителю хозяйства, Главному государственному ветеринарному инспектору района и в территориальный Центр госсанэпиднадзора. Одновременно проводит тщательное эпизоотологическое обследование в соответствии с инструктивно-методическими документами Минсельхозпрода РФ.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5.2. Хозяйство (отдельные корпуса животноводческих комплексов, фермы, отделения, свинарники, птичники, индивидуальные дворы и т.д.), объявляют неблагополучным по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листериозу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, если в нем выявлено заболевание животного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листериозом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на основании комплекса эпизоотологических данных и результатов лабораторных исследований.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5.3. В хозяйствах, неблагополучных по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листериозу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, вводят ограничения, на основании которых запрещается:</w:t>
            </w:r>
          </w:p>
          <w:p w:rsidR="00E97046" w:rsidRPr="00E97046" w:rsidRDefault="00E97046" w:rsidP="00E970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вывод из хозяйства животных, за исключением вывоза животных для убоя;</w:t>
            </w:r>
          </w:p>
          <w:p w:rsidR="00E97046" w:rsidRPr="00E97046" w:rsidRDefault="00E97046" w:rsidP="00E970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вывоз мяса от вынужденно убитых больных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листериозом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животных в сыром виде, за исключением его вывоза для переработки на мясокомбинаты. Мясо от таких животных в хозяйствах и на мясокомбинатах подвергают ветеринарно-санитарной оценке согласно "Правилам ветеринарного осмотра убойных животных и ветеринарно-санитарной экспертизы мяса и мясных продуктов";</w:t>
            </w:r>
          </w:p>
          <w:p w:rsidR="00E97046" w:rsidRPr="00E97046" w:rsidRDefault="00E97046" w:rsidP="00E970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вывоз кормов, имевших контакт с больными животными или подозрительных на инфицирование листериями.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5.4. В хозяйствах (животноводческих комплексах, фермах, отделениях, стадах), неблагополучных по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листериозу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, проводят поголовный клинический осмотр животных и отбраковку животных согласно инструктивно-методическим документам Минсельхозпрода РФ, для выявления животных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листерионосителей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и бессимптомно больных проводят серологические исследования проб крови. Животных с положительной реакцией изолируют и подвергают лечению антибиотиками или направляют на убой.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5.5. В неблагополучных хозяйствах в период ограничений молоко, полученное от животных, давших положительный результат в серологической реакции, кипятят в течение 15 мин или перерабатывают на топленое масло.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5.6. В неблагополучных по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листериозу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стадах животных осеменяют искусственно спермой от здоровых производителей, которых предварительно обследуют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серологически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5.7. Дезинфекцию, дезинсекцию и дератизацию на животноводческих фермах, неблагополучных по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листериозу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, а также обеззараживание навоза проводят согласно действующей "Инструкции по проведению ветеринарной дезинфекции объектов животноводства".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5.8. Скирды, стога сена, соломы, силос, комбикорма, находящиеся в неблагополучных по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листериозу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хозяйствах, тщательно проверяют на заселение грызунами, при обнаружении последних проводят дератизацию. Комбикорма, сено и солому из скирд и стогов, заселенных большим количеством грызунов, подвергают термической обработке при 100 град. </w:t>
            </w:r>
            <w:proofErr w:type="gram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С</w:t>
            </w:r>
            <w:proofErr w:type="gram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в</w:t>
            </w:r>
            <w:proofErr w:type="gram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течение 30 мин. Пробы силоса для выявления обсеменения его листериями направляют на бактериологическое исследование.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5.9. В случаях контаминации силосной массы, хранящейся в траншеях или в буртах, возбудителем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листериоза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вся испорченная силосная масса подлежит обеззараживанию биотермическим способом в порядке, предусмотренном "Инструкцией по проведению ветеринарной дезинфекции объектов животноводства".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5.10. Полученное от больных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листериозом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животных кожевенно-меховое сырье обеззараживают согласно действующей "Инструкции по технологическому консервированию и дезинфекции при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неспорообразующих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инфекциях и дерматомикозах кожевенного сырья композиционными составами на основе солей органических кислот".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5.11. Хозяйство (животноводческий комплекс, ферму, отделение, двор) объявляют благополучным по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lastRenderedPageBreak/>
              <w:t>листериозу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через два месяца после последнего случая выделения клинически больных животных и проведения заключительной дезинфекции помещений и территории фермы.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5.12. Вывод овец для племенных и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пользовательных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целей в течение двух лет после оздоровления хозяйства (животноводческого комплекса, фермы, отделения) от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листериоза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допускается при условии получения отрицательных серологических (РСК) результатов исследования сыворотки крови выводимых животных на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. Вывод других видов животных допускается при тех же условиях в течение 1 года.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Разрешается без ограничений вывоз животных на мясокомбинат для убоя.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5.13. В хозяйствах, ранее неблагополучных по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листериозу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, необходимо проводить серологические обследования животных 1 раз в год перед постановкой на стойловое содержание до исчезновения положительных реакций. Положительно реагирующих животных изолируют, подвергают лечению или направляют на убой. При вывозе животных в ветеринарном свидетельстве указывают результаты исследования их на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.</w:t>
            </w:r>
          </w:p>
          <w:p w:rsidR="00E97046" w:rsidRPr="00E97046" w:rsidRDefault="00E97046" w:rsidP="00E97046">
            <w:pPr>
              <w:spacing w:before="100" w:beforeAutospacing="1" w:after="100" w:afterAutospacing="1" w:line="195" w:lineRule="atLeast"/>
              <w:outlineLvl w:val="3"/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</w:pPr>
            <w:bookmarkStart w:id="6" w:name="7"/>
            <w:bookmarkEnd w:id="6"/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>Часть 6</w:t>
            </w:r>
          </w:p>
          <w:p w:rsidR="00E97046" w:rsidRPr="00E97046" w:rsidRDefault="00E97046" w:rsidP="00E97046">
            <w:pPr>
              <w:spacing w:before="100" w:beforeAutospacing="1" w:after="100" w:afterAutospacing="1" w:line="195" w:lineRule="atLeast"/>
              <w:outlineLvl w:val="3"/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>листериоза</w:t>
            </w:r>
            <w:proofErr w:type="spellEnd"/>
            <w:r w:rsidRPr="00E97046">
              <w:rPr>
                <w:rFonts w:ascii="Verdana" w:eastAsia="Times New Roman" w:hAnsi="Verdana" w:cs="Tahoma"/>
                <w:b/>
                <w:bCs/>
                <w:color w:val="3A393E"/>
                <w:sz w:val="20"/>
                <w:szCs w:val="20"/>
                <w:lang w:eastAsia="ru-RU"/>
              </w:rPr>
              <w:t xml:space="preserve"> у людей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6.1. При подозрении на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медицинский работник должен обеспечить лабораторное подтверждение диагноза.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6.2. Отбор материала на бактериологическое исследование и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самоисследование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проводится в соответствии с инструктивно-методическими документами Госкомсанэпиднадзора РФ и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Минздравмедпрома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РФ.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6.3. Госпитализация больных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листериозом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, а в отдельных случаях и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листерионосителей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проводится по клиническим и эпидемиологическим показаниям.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6.4. Все переболевшие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листериозом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подлежат диспансерному наблюдению, которое осуществляется в соответствии с инструктивно-методическими документами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Минздравмедпрома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РФ.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6.5. Предварительные и периодические медицинские осмотры проводятся на территориях,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эпизоотически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 неблагополучных по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листериозу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 xml:space="preserve">6.6. Решение о проведении осмотров выносится территориальными органами госсанэпиднадзора и </w:t>
            </w:r>
            <w:proofErr w:type="spellStart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минздравмедпрома</w:t>
            </w:r>
            <w:proofErr w:type="spellEnd"/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.</w:t>
            </w:r>
          </w:p>
          <w:p w:rsidR="00E97046" w:rsidRPr="00E97046" w:rsidRDefault="00E97046" w:rsidP="00E97046">
            <w:pPr>
              <w:spacing w:after="75" w:line="240" w:lineRule="auto"/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</w:pPr>
            <w:r w:rsidRPr="00E97046">
              <w:rPr>
                <w:rFonts w:ascii="Tahoma" w:eastAsia="Times New Roman" w:hAnsi="Tahoma" w:cs="Tahoma"/>
                <w:color w:val="3A393E"/>
                <w:sz w:val="20"/>
                <w:szCs w:val="20"/>
                <w:lang w:eastAsia="ru-RU"/>
              </w:rPr>
              <w:t> </w:t>
            </w:r>
          </w:p>
        </w:tc>
      </w:tr>
    </w:tbl>
    <w:p w:rsidR="00524F84" w:rsidRDefault="00524F84">
      <w:bookmarkStart w:id="7" w:name="_GoBack"/>
      <w:bookmarkEnd w:id="7"/>
    </w:p>
    <w:sectPr w:rsidR="0052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597"/>
    <w:multiLevelType w:val="multilevel"/>
    <w:tmpl w:val="F8F8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DD0C34"/>
    <w:multiLevelType w:val="multilevel"/>
    <w:tmpl w:val="97EE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702796"/>
    <w:multiLevelType w:val="multilevel"/>
    <w:tmpl w:val="E4DC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46"/>
    <w:rsid w:val="00524F84"/>
    <w:rsid w:val="00E9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7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70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70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70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70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7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70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70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70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70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club.ru/content/view/24/5/" TargetMode="External"/><Relationship Id="rId13" Type="http://schemas.openxmlformats.org/officeDocument/2006/relationships/hyperlink" Target="http://www.vetclub.ru/content/view/24/5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vetclub.ru/content/view/24/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etclub.ru/index2.php?option=com_content&amp;task=view&amp;id=24&amp;pop=1&amp;page=0&amp;Itemid=5" TargetMode="External"/><Relationship Id="rId11" Type="http://schemas.openxmlformats.org/officeDocument/2006/relationships/hyperlink" Target="http://www.vetclub.ru/content/view/24/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etclub.ru/content/view/24/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club.ru/content/view/24/5/" TargetMode="External"/><Relationship Id="rId14" Type="http://schemas.openxmlformats.org/officeDocument/2006/relationships/hyperlink" Target="http://www.vetclub.ru/content/view/24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2017-08-30T21:04:00Z</dcterms:created>
  <dcterms:modified xsi:type="dcterms:W3CDTF">2017-08-30T21:04:00Z</dcterms:modified>
</cp:coreProperties>
</file>