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EA1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r w:rsidR="00165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ВОЗМЕЩЕНИЯ ЧАСТИ ЗАТРАТ, СВЯЗАННЫХ С</w:t>
      </w:r>
      <w:r w:rsidR="00165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УПЛАТОЙ ПЕРВОГО ВЗНОСА (АВАНСА) ПРИ ЗАКЛЮЧЕНИИ ДОГОВОРА ЛИЗИНГА </w:t>
      </w:r>
    </w:p>
    <w:p w:rsidR="00C35894" w:rsidRPr="00815008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815008">
        <w:trPr>
          <w:trHeight w:val="682"/>
        </w:trPr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336" cy="457200"/>
                  <wp:effectExtent l="0" t="0" r="0" b="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5" b="13868"/>
                          <a:stretch/>
                        </pic:blipFill>
                        <pic:spPr bwMode="auto">
                          <a:xfrm>
                            <a:off x="0" y="0"/>
                            <a:ext cx="514895" cy="45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F380B" w:rsidRPr="007F17D8" w:rsidRDefault="006D07FD" w:rsidP="006B1F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8111E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финансирование расходов, связанных с созданием собственного бизнес</w:t>
            </w:r>
            <w:r w:rsidR="009F38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CB1B1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CB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17D8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4E2A3B" w:rsidRPr="002F770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 первого взноса (аванса) по договору лизинга, но не более 3 млн. рублей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="00133BC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не находится в стадии реорганизации, ликвидации, несостоятельности (банкротства)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 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ACE" w:rsidRPr="00133BC9" w:rsidRDefault="007F17D8" w:rsidP="00133BC9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BC9" w:rsidRPr="004F2ACE" w:rsidRDefault="00133BC9" w:rsidP="00133BC9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815008">
        <w:trPr>
          <w:trHeight w:val="4228"/>
        </w:trPr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 момента государственной регистрации СМСП составляет более 1 года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взнос (аванс) по договору лизинга не превышает 35% от всей суммы договора лизинга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предметом договора лизинга является: оборудование, устройства, механизмы, станки, приборы, аппараты, агрегаты, установки, специальная техника, грузовые транспортные средства, машины; автобусы – для СМСП, осуществляющих деятельность по перевозке пассажиров по маршруту (маршрутам) пассажирских автомобильных регулярных перевозок на территории Камчатского края, универсальные мобильные платформы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договора лизинга не предназначен для осуществления оптовой и розничной торговой деятельности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договора лизинга не является бывшим в употреблении и выпущен (произведен) в текущем году либо в предшествующих ему трех календарных годах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11E" w:rsidRPr="0098111E" w:rsidRDefault="0098111E" w:rsidP="00106C8F">
            <w:pPr>
              <w:pStyle w:val="a6"/>
              <w:numPr>
                <w:ilvl w:val="0"/>
                <w:numId w:val="6"/>
              </w:numPr>
              <w:ind w:left="254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одного и более рабочих мест в результате приобретения предмета лизинга</w:t>
            </w:r>
            <w:r w:rsidR="00106C8F">
              <w:t xml:space="preserve"> </w:t>
            </w:r>
            <w:r w:rsidR="00106C8F" w:rsidRPr="00106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субсидии;</w:t>
            </w:r>
          </w:p>
          <w:p w:rsidR="00133BC9" w:rsidRPr="007F17D8" w:rsidRDefault="0098111E" w:rsidP="00106C8F">
            <w:pPr>
              <w:pStyle w:val="a6"/>
              <w:numPr>
                <w:ilvl w:val="0"/>
                <w:numId w:val="6"/>
              </w:numPr>
              <w:ind w:left="254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дохода за предыдущий налоговый период</w:t>
            </w:r>
            <w:r w:rsidR="00CB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4F2ACE" w:rsidRDefault="0029617F" w:rsidP="00CB1B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9F380B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возмещения части затрат, связанных с уплатой первого взноса (аванса) при заключении договора лизинга</w:t>
            </w:r>
            <w:r w:rsidR="0098111E">
              <w:t xml:space="preserve"> </w:t>
            </w:r>
            <w:r w:rsidR="008A03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CB1B11" w:rsidRPr="00CB1B11">
              <w:rPr>
                <w:rFonts w:ascii="Times New Roman" w:hAnsi="Times New Roman" w:cs="Times New Roman"/>
                <w:sz w:val="24"/>
                <w:szCs w:val="24"/>
              </w:rPr>
              <w:t>приказу Агентства инвестиций и предпринимательства Камчатского края от 05.07.2017 № 67-п</w:t>
            </w:r>
            <w:r w:rsidR="00CB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33BC9" w:rsidRDefault="00133BC9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B423F2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106C8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="00106C8F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106C8F" w:rsidRPr="00106C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="00106C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27-00-0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7, 27-05-45. Факс: </w:t>
            </w:r>
            <w:r w:rsidR="00106C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27-05-45</w:t>
            </w:r>
          </w:p>
          <w:p w:rsidR="000C6F29" w:rsidRPr="006B1F74" w:rsidRDefault="0098111E" w:rsidP="008150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="008A034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840637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840637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840637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3D13DD" w:rsidRPr="00815008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  <w:bookmarkStart w:id="0" w:name="_GoBack"/>
      <w:bookmarkEnd w:id="0"/>
    </w:p>
    <w:sectPr w:rsidR="003D13DD" w:rsidRPr="00815008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E43F4"/>
    <w:rsid w:val="000F0164"/>
    <w:rsid w:val="00106C8F"/>
    <w:rsid w:val="00115FEA"/>
    <w:rsid w:val="00133BC9"/>
    <w:rsid w:val="001557D1"/>
    <w:rsid w:val="00161837"/>
    <w:rsid w:val="0016542D"/>
    <w:rsid w:val="001810D5"/>
    <w:rsid w:val="00184B76"/>
    <w:rsid w:val="001F3F80"/>
    <w:rsid w:val="00205331"/>
    <w:rsid w:val="002618C6"/>
    <w:rsid w:val="00271349"/>
    <w:rsid w:val="0029617F"/>
    <w:rsid w:val="002D429C"/>
    <w:rsid w:val="002E4989"/>
    <w:rsid w:val="002F7704"/>
    <w:rsid w:val="003019BF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F17D8"/>
    <w:rsid w:val="00815008"/>
    <w:rsid w:val="00840637"/>
    <w:rsid w:val="008A0343"/>
    <w:rsid w:val="0098111E"/>
    <w:rsid w:val="009F380B"/>
    <w:rsid w:val="00A6021A"/>
    <w:rsid w:val="00AB2D62"/>
    <w:rsid w:val="00B07FE9"/>
    <w:rsid w:val="00B423F2"/>
    <w:rsid w:val="00B46352"/>
    <w:rsid w:val="00B601C6"/>
    <w:rsid w:val="00B9048F"/>
    <w:rsid w:val="00BC6C68"/>
    <w:rsid w:val="00BF318A"/>
    <w:rsid w:val="00C35894"/>
    <w:rsid w:val="00CB1B11"/>
    <w:rsid w:val="00CF38E3"/>
    <w:rsid w:val="00D24FE6"/>
    <w:rsid w:val="00D964CE"/>
    <w:rsid w:val="00DA37BF"/>
    <w:rsid w:val="00DE2C56"/>
    <w:rsid w:val="00E14C5C"/>
    <w:rsid w:val="00E57A07"/>
    <w:rsid w:val="00E61D92"/>
    <w:rsid w:val="00E85D47"/>
    <w:rsid w:val="00EA1A64"/>
    <w:rsid w:val="00EB78A8"/>
    <w:rsid w:val="00F83A6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0177-9339-485D-BB94-D276FF8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B22E-E84D-4D9A-809E-A43EB8D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5</cp:revision>
  <cp:lastPrinted>2017-01-25T02:10:00Z</cp:lastPrinted>
  <dcterms:created xsi:type="dcterms:W3CDTF">2017-02-01T22:40:00Z</dcterms:created>
  <dcterms:modified xsi:type="dcterms:W3CDTF">2017-07-26T22:13:00Z</dcterms:modified>
</cp:coreProperties>
</file>