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62" w:rsidRDefault="00DB0B62" w:rsidP="007F18AC">
      <w:pPr>
        <w:pStyle w:val="ConsPlusTitle"/>
        <w:rPr>
          <w:rFonts w:ascii="Times New Roman" w:hAnsi="Times New Roman" w:cs="Times New Roman"/>
        </w:rPr>
      </w:pPr>
    </w:p>
    <w:p w:rsidR="00B56D10" w:rsidRPr="00A66425" w:rsidRDefault="006278C0" w:rsidP="00A6642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СВОДНЫЙ ОТЧЕТ </w:t>
      </w:r>
      <w:r w:rsidR="00B56D10" w:rsidRPr="00B56D10">
        <w:rPr>
          <w:rFonts w:ascii="Times New Roman" w:hAnsi="Times New Roman" w:cs="Times New Roman"/>
        </w:rPr>
        <w:t>ОЦЕНКИ РЕГУЛИРУЮЩЕГО ВОЗДЕЙСТВИЯ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8805"/>
      </w:tblGrid>
      <w:tr w:rsidR="00B56D10" w:rsidRPr="00B56D10" w:rsidTr="0023127F">
        <w:tc>
          <w:tcPr>
            <w:tcW w:w="766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</w:t>
            </w:r>
            <w:r w:rsidRPr="00B56D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Камчатского края (регулирующий орган):</w:t>
            </w:r>
            <w:r w:rsidR="00793B03" w:rsidRPr="00793B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6278C0" w:rsidRDefault="006278C0" w:rsidP="006278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C0">
              <w:rPr>
                <w:rFonts w:ascii="Times New Roman" w:hAnsi="Times New Roman" w:cs="Times New Roman"/>
                <w:i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к разработке проекта нормативного правового акта иных исполнительных</w:t>
            </w:r>
            <w:r w:rsidR="00C7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Камчатского края, руководителей организаций, интересы которых затрагивает проект правового акта,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ученых, представителей общественных объединений и иных лиц:</w:t>
            </w:r>
            <w:r w:rsidR="004B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6278C0" w:rsidRDefault="006278C0" w:rsidP="006278C0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  <w:sz w:val="24"/>
                <w:szCs w:val="24"/>
              </w:rPr>
              <w:t>НП Ассоциация Туриндустрии Камчатки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793B03" w:rsidRPr="00E733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6278C0" w:rsidRDefault="006278C0" w:rsidP="00B56D1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</w:rPr>
              <w:t>проект приказа «Об утверждении Порядка предоставления субсидий субъектам туристской деятельности на развитие культурно-познавательного детско-юношеского туризма и организацию экскурсионных и туристических поездок за пределы Камчатского края»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D10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  <w:r w:rsidR="0079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6278C0" w:rsidRDefault="006278C0" w:rsidP="006278C0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</w:rPr>
              <w:t>низкая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8805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отнесения проекта нормативного правового акта </w:t>
            </w:r>
            <w:r w:rsidRPr="00B56D1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D10">
              <w:rPr>
                <w:rFonts w:ascii="Times New Roman" w:hAnsi="Times New Roman" w:cs="Times New Roman"/>
              </w:rPr>
              <w:t>определенной степени регулирующего воздействия: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6D1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ведения о проблеме, на решение которой направлено </w:t>
            </w:r>
            <w:r w:rsidRPr="00B56D10">
              <w:rPr>
                <w:rFonts w:ascii="Times New Roman" w:hAnsi="Times New Roman" w:cs="Times New Roman"/>
              </w:rPr>
              <w:t>предлагаемое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D10">
              <w:rPr>
                <w:rFonts w:ascii="Times New Roman" w:hAnsi="Times New Roman" w:cs="Times New Roman"/>
              </w:rPr>
              <w:t>правовое регулирование:</w:t>
            </w:r>
            <w:r w:rsidR="0079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6278C0" w:rsidRPr="006278C0" w:rsidRDefault="00CE2EFC" w:rsidP="00B56D1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настоящее время указанная категория граждан не имеет возможности осуществлять культурно-познавательный туризм за пределами Камчатского края в связи с высокими ценами на авиаперевозки и </w:t>
            </w:r>
            <w:r w:rsidR="00A66425">
              <w:rPr>
                <w:rFonts w:ascii="Times New Roman" w:hAnsi="Times New Roman" w:cs="Times New Roman"/>
                <w:i/>
              </w:rPr>
              <w:t>экскурсионное обслуживание. Ч</w:t>
            </w:r>
            <w:r w:rsidR="006278C0" w:rsidRPr="006278C0">
              <w:rPr>
                <w:rFonts w:ascii="Times New Roman" w:hAnsi="Times New Roman" w:cs="Times New Roman"/>
                <w:i/>
              </w:rPr>
              <w:t>астичное возмещение финансовых расходов юридическим лицам при оказании услуг в сфере детского социального туризма за пределами территории Камчатского края</w:t>
            </w:r>
            <w:r w:rsidR="00A66425">
              <w:rPr>
                <w:rFonts w:ascii="Times New Roman" w:hAnsi="Times New Roman" w:cs="Times New Roman"/>
                <w:i/>
              </w:rPr>
              <w:t xml:space="preserve"> позволит данной категории граждан приобщиться к национальной культуре страны, её историческому наследию, поспособствует общему духовному развитию и воспитанию патриотизма.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B56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6D10">
              <w:rPr>
                <w:rFonts w:ascii="Times New Roman" w:hAnsi="Times New Roman" w:cs="Times New Roman"/>
              </w:rPr>
              <w:t>Оценка негативных эффектов, порождаемых наличием данной проблемы:</w:t>
            </w:r>
            <w:r w:rsidR="0079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6278C0" w:rsidRDefault="006278C0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</w:rPr>
              <w:t>в связи с отсутствием государственной поддержки граждане указанной социальной категории не имеют возможности получать услуги в области культурно-познавательного детско-юношеского туризма за пределами территории Камчатского края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6D10">
              <w:rPr>
                <w:rFonts w:ascii="Times New Roman" w:hAnsi="Times New Roman" w:cs="Times New Roman"/>
              </w:rPr>
              <w:t>Описание предлагае</w:t>
            </w:r>
            <w:r>
              <w:rPr>
                <w:rFonts w:ascii="Times New Roman" w:hAnsi="Times New Roman" w:cs="Times New Roman"/>
              </w:rPr>
              <w:t>мого правового регулирования в части</w:t>
            </w:r>
            <w:r w:rsidRPr="00B56D10">
              <w:rPr>
                <w:rFonts w:ascii="Times New Roman" w:hAnsi="Times New Roman" w:cs="Times New Roman"/>
              </w:rPr>
              <w:t xml:space="preserve"> </w:t>
            </w:r>
            <w:r w:rsidR="00793B03" w:rsidRPr="00B56D10">
              <w:rPr>
                <w:rFonts w:ascii="Times New Roman" w:hAnsi="Times New Roman" w:cs="Times New Roman"/>
              </w:rPr>
              <w:t>положений,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которыми  изменяется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содержание прав и обязанностей </w:t>
            </w:r>
            <w:r w:rsidRPr="00B56D10">
              <w:rPr>
                <w:rFonts w:ascii="Times New Roman" w:hAnsi="Times New Roman" w:cs="Times New Roman"/>
              </w:rPr>
              <w:t>субъектов</w:t>
            </w:r>
            <w:r>
              <w:rPr>
                <w:rFonts w:ascii="Times New Roman" w:hAnsi="Times New Roman" w:cs="Times New Roman"/>
              </w:rPr>
              <w:t xml:space="preserve"> предпринимательской и инвестиционной деятельности, </w:t>
            </w:r>
            <w:r w:rsidRPr="00B56D10">
              <w:rPr>
                <w:rFonts w:ascii="Times New Roman" w:hAnsi="Times New Roman" w:cs="Times New Roman"/>
              </w:rPr>
              <w:t>изменяется</w:t>
            </w:r>
            <w:r>
              <w:rPr>
                <w:rFonts w:ascii="Times New Roman" w:hAnsi="Times New Roman" w:cs="Times New Roman"/>
              </w:rPr>
              <w:t xml:space="preserve"> порядок реализации полномочий исполнительных </w:t>
            </w:r>
            <w:r w:rsidRPr="00B56D10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D10">
              <w:rPr>
                <w:rFonts w:ascii="Times New Roman" w:hAnsi="Times New Roman" w:cs="Times New Roman"/>
              </w:rPr>
              <w:t xml:space="preserve">государственной власти </w:t>
            </w:r>
            <w:r>
              <w:rPr>
                <w:rFonts w:ascii="Times New Roman" w:hAnsi="Times New Roman" w:cs="Times New Roman"/>
              </w:rPr>
              <w:t>Камчатского края в отношениях с</w:t>
            </w:r>
            <w:r w:rsidRPr="00B56D10">
              <w:rPr>
                <w:rFonts w:ascii="Times New Roman" w:hAnsi="Times New Roman" w:cs="Times New Roman"/>
              </w:rPr>
              <w:t xml:space="preserve"> субъектами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D10">
              <w:rPr>
                <w:rFonts w:ascii="Times New Roman" w:hAnsi="Times New Roman" w:cs="Times New Roman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</w:rPr>
              <w:t xml:space="preserve">и инвестиционной деятельности. </w:t>
            </w:r>
            <w:r w:rsidRPr="00B56D10">
              <w:rPr>
                <w:rFonts w:ascii="Times New Roman" w:hAnsi="Times New Roman" w:cs="Times New Roman"/>
              </w:rPr>
              <w:t>Альтернативные</w:t>
            </w:r>
            <w:r>
              <w:rPr>
                <w:rFonts w:ascii="Times New Roman" w:hAnsi="Times New Roman" w:cs="Times New Roman"/>
              </w:rPr>
              <w:t xml:space="preserve"> способы решения проблемы (информационные или</w:t>
            </w:r>
            <w:r w:rsidRPr="00B56D10">
              <w:rPr>
                <w:rFonts w:ascii="Times New Roman" w:hAnsi="Times New Roman" w:cs="Times New Roman"/>
              </w:rPr>
              <w:t xml:space="preserve"> организационные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D10">
              <w:rPr>
                <w:rFonts w:ascii="Times New Roman" w:hAnsi="Times New Roman" w:cs="Times New Roman"/>
              </w:rPr>
              <w:t>средства, невмешательство)</w:t>
            </w:r>
            <w:r w:rsidR="00793B0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6278C0" w:rsidRDefault="006278C0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</w:rPr>
              <w:t>не изменяются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6D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оручение, на основании которого разработан проект</w:t>
            </w:r>
            <w:r w:rsidRPr="00B56D10">
              <w:rPr>
                <w:rFonts w:ascii="Times New Roman" w:hAnsi="Times New Roman" w:cs="Times New Roman"/>
              </w:rPr>
              <w:t xml:space="preserve"> нормативного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D10">
              <w:rPr>
                <w:rFonts w:ascii="Times New Roman" w:hAnsi="Times New Roman" w:cs="Times New Roman"/>
              </w:rPr>
              <w:t>правового акта (при наличии):</w:t>
            </w:r>
            <w:r w:rsidR="0079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D10" w:rsidRPr="00B56D10" w:rsidTr="004152BD">
        <w:tc>
          <w:tcPr>
            <w:tcW w:w="9571" w:type="dxa"/>
            <w:gridSpan w:val="2"/>
          </w:tcPr>
          <w:p w:rsidR="00B56D10" w:rsidRPr="006278C0" w:rsidRDefault="006278C0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</w:rPr>
              <w:t>проект приказа разработан во исполнение поручения Президента Российской Федерации от 11.10.2012 №Пр-2705, в целях реализации Национальной программы детского культурно-познавательного туризма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B56D10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805" w:type="dxa"/>
          </w:tcPr>
          <w:p w:rsidR="00B56D10" w:rsidRPr="00B56D10" w:rsidRDefault="00B56D10" w:rsidP="00627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целях предлагаемого правового регулирования</w:t>
            </w:r>
            <w:r w:rsidRPr="00B56D1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обоснование их соответствия положениям послания </w:t>
            </w:r>
            <w:r w:rsidRPr="00B56D10">
              <w:rPr>
                <w:rFonts w:ascii="Times New Roman" w:hAnsi="Times New Roman" w:cs="Times New Roman"/>
              </w:rPr>
              <w:t>Президента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D10">
              <w:rPr>
                <w:rFonts w:ascii="Times New Roman" w:hAnsi="Times New Roman" w:cs="Times New Roman"/>
              </w:rPr>
              <w:t>Российской Федерации Фед</w:t>
            </w:r>
            <w:r w:rsidR="003A6B5E">
              <w:rPr>
                <w:rFonts w:ascii="Times New Roman" w:hAnsi="Times New Roman" w:cs="Times New Roman"/>
              </w:rPr>
              <w:t xml:space="preserve">еральному Собранию Российской </w:t>
            </w:r>
            <w:r w:rsidRPr="00B56D10">
              <w:rPr>
                <w:rFonts w:ascii="Times New Roman" w:hAnsi="Times New Roman" w:cs="Times New Roman"/>
              </w:rPr>
              <w:t>Федерации,</w:t>
            </w:r>
            <w:r w:rsidR="003A6B5E">
              <w:rPr>
                <w:rFonts w:ascii="Times New Roman" w:hAnsi="Times New Roman" w:cs="Times New Roman"/>
              </w:rPr>
              <w:t xml:space="preserve"> концепции долгосрочного социально-экономического </w:t>
            </w:r>
            <w:r w:rsidR="003A6B5E" w:rsidRPr="003A6B5E">
              <w:rPr>
                <w:rFonts w:ascii="Times New Roman" w:hAnsi="Times New Roman" w:cs="Times New Roman"/>
              </w:rPr>
              <w:t>развития</w:t>
            </w:r>
            <w:r w:rsidR="003A6B5E">
              <w:rPr>
                <w:rFonts w:ascii="Times New Roman" w:hAnsi="Times New Roman" w:cs="Times New Roman"/>
              </w:rPr>
              <w:t xml:space="preserve"> </w:t>
            </w:r>
            <w:r w:rsidR="003A6B5E" w:rsidRPr="003A6B5E">
              <w:rPr>
                <w:rFonts w:ascii="Times New Roman" w:hAnsi="Times New Roman" w:cs="Times New Roman"/>
              </w:rPr>
              <w:t>Российской Федерации, прог</w:t>
            </w:r>
            <w:r w:rsidR="003A6B5E">
              <w:rPr>
                <w:rFonts w:ascii="Times New Roman" w:hAnsi="Times New Roman" w:cs="Times New Roman"/>
              </w:rPr>
              <w:t xml:space="preserve">рамме социально-экономического </w:t>
            </w:r>
            <w:r w:rsidR="003A6B5E" w:rsidRPr="003A6B5E">
              <w:rPr>
                <w:rFonts w:ascii="Times New Roman" w:hAnsi="Times New Roman" w:cs="Times New Roman"/>
              </w:rPr>
              <w:t>развития</w:t>
            </w:r>
            <w:r w:rsidR="003A6B5E">
              <w:rPr>
                <w:rFonts w:ascii="Times New Roman" w:hAnsi="Times New Roman" w:cs="Times New Roman"/>
              </w:rPr>
              <w:t xml:space="preserve"> </w:t>
            </w:r>
            <w:r w:rsidR="003A6B5E" w:rsidRPr="003A6B5E">
              <w:rPr>
                <w:rFonts w:ascii="Times New Roman" w:hAnsi="Times New Roman" w:cs="Times New Roman"/>
              </w:rPr>
              <w:t>Российской Федерации, стр</w:t>
            </w:r>
            <w:r w:rsidR="003A6B5E">
              <w:rPr>
                <w:rFonts w:ascii="Times New Roman" w:hAnsi="Times New Roman" w:cs="Times New Roman"/>
              </w:rPr>
              <w:t>атегии социально-экономического</w:t>
            </w:r>
            <w:r w:rsidR="003A6B5E" w:rsidRPr="003A6B5E">
              <w:rPr>
                <w:rFonts w:ascii="Times New Roman" w:hAnsi="Times New Roman" w:cs="Times New Roman"/>
              </w:rPr>
              <w:t xml:space="preserve"> развития</w:t>
            </w:r>
            <w:r w:rsidR="003A6B5E">
              <w:rPr>
                <w:rFonts w:ascii="Times New Roman" w:hAnsi="Times New Roman" w:cs="Times New Roman"/>
              </w:rPr>
              <w:t xml:space="preserve"> </w:t>
            </w:r>
            <w:r w:rsidR="003A6B5E" w:rsidRPr="003A6B5E">
              <w:rPr>
                <w:rFonts w:ascii="Times New Roman" w:hAnsi="Times New Roman" w:cs="Times New Roman"/>
              </w:rPr>
              <w:t>Камчатского края, закон</w:t>
            </w:r>
            <w:r w:rsidR="003A6B5E">
              <w:rPr>
                <w:rFonts w:ascii="Times New Roman" w:hAnsi="Times New Roman" w:cs="Times New Roman"/>
              </w:rPr>
              <w:t xml:space="preserve">ам Камчатского края, в которых </w:t>
            </w:r>
            <w:r w:rsidR="003A6B5E" w:rsidRPr="003A6B5E">
              <w:rPr>
                <w:rFonts w:ascii="Times New Roman" w:hAnsi="Times New Roman" w:cs="Times New Roman"/>
              </w:rPr>
              <w:t>формируются</w:t>
            </w:r>
            <w:r w:rsidR="003A6B5E">
              <w:rPr>
                <w:rFonts w:ascii="Times New Roman" w:hAnsi="Times New Roman" w:cs="Times New Roman"/>
              </w:rPr>
              <w:t xml:space="preserve"> и обосновываются цели и приоритеты</w:t>
            </w:r>
            <w:r w:rsidR="003A6B5E" w:rsidRPr="003A6B5E">
              <w:rPr>
                <w:rFonts w:ascii="Times New Roman" w:hAnsi="Times New Roman" w:cs="Times New Roman"/>
              </w:rPr>
              <w:t xml:space="preserve"> полит</w:t>
            </w:r>
            <w:r w:rsidR="003A6B5E">
              <w:rPr>
                <w:rFonts w:ascii="Times New Roman" w:hAnsi="Times New Roman" w:cs="Times New Roman"/>
              </w:rPr>
              <w:t xml:space="preserve">ики, </w:t>
            </w:r>
            <w:r w:rsidR="003A6B5E" w:rsidRPr="003A6B5E">
              <w:rPr>
                <w:rFonts w:ascii="Times New Roman" w:hAnsi="Times New Roman" w:cs="Times New Roman"/>
              </w:rPr>
              <w:t>направления</w:t>
            </w:r>
            <w:r w:rsidR="003A6B5E">
              <w:rPr>
                <w:rFonts w:ascii="Times New Roman" w:hAnsi="Times New Roman" w:cs="Times New Roman"/>
              </w:rPr>
              <w:t xml:space="preserve"> реализации указанных целей, задачи, подлежащие решению для </w:t>
            </w:r>
            <w:r w:rsidR="003A6B5E" w:rsidRPr="003A6B5E">
              <w:rPr>
                <w:rFonts w:ascii="Times New Roman" w:hAnsi="Times New Roman" w:cs="Times New Roman"/>
              </w:rPr>
              <w:t>их</w:t>
            </w:r>
            <w:r w:rsidR="003A6B5E">
              <w:rPr>
                <w:rFonts w:ascii="Times New Roman" w:hAnsi="Times New Roman" w:cs="Times New Roman"/>
              </w:rPr>
              <w:t xml:space="preserve"> </w:t>
            </w:r>
            <w:r w:rsidR="003A6B5E" w:rsidRPr="003A6B5E">
              <w:rPr>
                <w:rFonts w:ascii="Times New Roman" w:hAnsi="Times New Roman" w:cs="Times New Roman"/>
              </w:rPr>
              <w:lastRenderedPageBreak/>
              <w:t>реализации:</w:t>
            </w:r>
            <w:r w:rsidR="00F14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B5E" w:rsidRPr="00B56D10" w:rsidTr="004152BD">
        <w:tc>
          <w:tcPr>
            <w:tcW w:w="9571" w:type="dxa"/>
            <w:gridSpan w:val="2"/>
          </w:tcPr>
          <w:p w:rsidR="003A6B5E" w:rsidRPr="006278C0" w:rsidRDefault="006278C0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</w:rPr>
              <w:lastRenderedPageBreak/>
              <w:t>соответствует достижению одной из целей Стратегии социально-экономического развития Камчатского края по обеспечению незащищенных категорий граждан услугами в области выездного туризма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3A6B5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805" w:type="dxa"/>
          </w:tcPr>
          <w:p w:rsidR="00B56D10" w:rsidRPr="00B56D10" w:rsidRDefault="003A6B5E" w:rsidP="00627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5E">
              <w:rPr>
                <w:rFonts w:ascii="Times New Roman" w:hAnsi="Times New Roman" w:cs="Times New Roman"/>
              </w:rPr>
              <w:t>Цели предлагаемого правового регулирования:</w:t>
            </w:r>
            <w:r w:rsidR="00A6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B5E" w:rsidRPr="00B56D10" w:rsidTr="004152BD">
        <w:tc>
          <w:tcPr>
            <w:tcW w:w="9571" w:type="dxa"/>
            <w:gridSpan w:val="2"/>
          </w:tcPr>
          <w:p w:rsidR="003A6B5E" w:rsidRPr="006278C0" w:rsidRDefault="006278C0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6278C0">
              <w:rPr>
                <w:rFonts w:ascii="Times New Roman" w:hAnsi="Times New Roman" w:cs="Times New Roman"/>
                <w:i/>
              </w:rPr>
              <w:t>снижение социальной напряженности в социальных группах населения, стимулирование патриотического воспитания указанной категории граждан, мотивирование субъектов туристической деятельности на оказание услуг для данной категории граждан, повышение социальной ответственности Правительства Камчатского края</w:t>
            </w:r>
          </w:p>
        </w:tc>
      </w:tr>
      <w:tr w:rsidR="00B56D10" w:rsidRPr="00B56D10" w:rsidTr="0023127F">
        <w:tc>
          <w:tcPr>
            <w:tcW w:w="766" w:type="dxa"/>
          </w:tcPr>
          <w:p w:rsidR="00B56D10" w:rsidRPr="00B56D10" w:rsidRDefault="003A6B5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</w:p>
        </w:tc>
        <w:tc>
          <w:tcPr>
            <w:tcW w:w="8805" w:type="dxa"/>
          </w:tcPr>
          <w:p w:rsidR="00B56D10" w:rsidRPr="00B56D10" w:rsidRDefault="003A6B5E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Установленные сроки достижения целей предлагаемого </w:t>
            </w:r>
            <w:r w:rsidRPr="003A6B5E">
              <w:rPr>
                <w:rFonts w:ascii="Times New Roman" w:hAnsi="Times New Roman" w:cs="Times New Roman"/>
              </w:rPr>
              <w:t>правового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B5E">
              <w:rPr>
                <w:rFonts w:ascii="Times New Roman" w:hAnsi="Times New Roman" w:cs="Times New Roman"/>
              </w:rPr>
              <w:t>регулирования:</w:t>
            </w:r>
            <w:r w:rsidR="006D34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B5E" w:rsidRPr="00B56D10" w:rsidTr="004152BD">
        <w:tc>
          <w:tcPr>
            <w:tcW w:w="9571" w:type="dxa"/>
            <w:gridSpan w:val="2"/>
          </w:tcPr>
          <w:p w:rsidR="003A6B5E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2020 год</w:t>
            </w:r>
          </w:p>
        </w:tc>
      </w:tr>
      <w:tr w:rsidR="003A6B5E" w:rsidRPr="00B56D10" w:rsidTr="0023127F">
        <w:tc>
          <w:tcPr>
            <w:tcW w:w="766" w:type="dxa"/>
          </w:tcPr>
          <w:p w:rsidR="003A6B5E" w:rsidRPr="00B56D10" w:rsidRDefault="003A6B5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805" w:type="dxa"/>
          </w:tcPr>
          <w:p w:rsidR="003A6B5E" w:rsidRPr="00B56D10" w:rsidRDefault="003A6B5E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</w:t>
            </w:r>
            <w:r w:rsidRPr="003A6B5E">
              <w:rPr>
                <w:rFonts w:ascii="Times New Roman" w:hAnsi="Times New Roman" w:cs="Times New Roman"/>
              </w:rPr>
              <w:t xml:space="preserve"> соотв</w:t>
            </w:r>
            <w:r>
              <w:rPr>
                <w:rFonts w:ascii="Times New Roman" w:hAnsi="Times New Roman" w:cs="Times New Roman"/>
              </w:rPr>
              <w:t xml:space="preserve">етствия целей предлагаемого </w:t>
            </w:r>
            <w:r w:rsidRPr="003A6B5E">
              <w:rPr>
                <w:rFonts w:ascii="Times New Roman" w:hAnsi="Times New Roman" w:cs="Times New Roman"/>
              </w:rPr>
              <w:t>правового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B5E">
              <w:rPr>
                <w:rFonts w:ascii="Times New Roman" w:hAnsi="Times New Roman" w:cs="Times New Roman"/>
              </w:rPr>
              <w:t xml:space="preserve">регулирования положениям </w:t>
            </w:r>
            <w:r>
              <w:rPr>
                <w:rFonts w:ascii="Times New Roman" w:hAnsi="Times New Roman" w:cs="Times New Roman"/>
              </w:rPr>
              <w:t xml:space="preserve">послания Президента Российской </w:t>
            </w:r>
            <w:r w:rsidRPr="003A6B5E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 xml:space="preserve"> Федеральному Собранию Российской Федерации, </w:t>
            </w:r>
            <w:r w:rsidRPr="003A6B5E">
              <w:rPr>
                <w:rFonts w:ascii="Times New Roman" w:hAnsi="Times New Roman" w:cs="Times New Roman"/>
              </w:rPr>
              <w:t>концепции</w:t>
            </w:r>
            <w:r>
              <w:rPr>
                <w:rFonts w:ascii="Times New Roman" w:hAnsi="Times New Roman" w:cs="Times New Roman"/>
              </w:rPr>
              <w:t xml:space="preserve"> долгосрочного социально-экономического </w:t>
            </w:r>
            <w:r w:rsidRPr="003A6B5E">
              <w:rPr>
                <w:rFonts w:ascii="Times New Roman" w:hAnsi="Times New Roman" w:cs="Times New Roman"/>
              </w:rPr>
              <w:t>разв</w:t>
            </w:r>
            <w:r>
              <w:rPr>
                <w:rFonts w:ascii="Times New Roman" w:hAnsi="Times New Roman" w:cs="Times New Roman"/>
              </w:rPr>
              <w:t xml:space="preserve">ития </w:t>
            </w:r>
            <w:r w:rsidRPr="003A6B5E">
              <w:rPr>
                <w:rFonts w:ascii="Times New Roman" w:hAnsi="Times New Roman" w:cs="Times New Roman"/>
              </w:rPr>
              <w:t>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B5E">
              <w:rPr>
                <w:rFonts w:ascii="Times New Roman" w:hAnsi="Times New Roman" w:cs="Times New Roman"/>
              </w:rPr>
              <w:t>Федерации, программе соц</w:t>
            </w:r>
            <w:r>
              <w:rPr>
                <w:rFonts w:ascii="Times New Roman" w:hAnsi="Times New Roman" w:cs="Times New Roman"/>
              </w:rPr>
              <w:t xml:space="preserve">иально-экономического развития </w:t>
            </w:r>
            <w:r w:rsidRPr="003A6B5E">
              <w:rPr>
                <w:rFonts w:ascii="Times New Roman" w:hAnsi="Times New Roman" w:cs="Times New Roman"/>
              </w:rPr>
              <w:t>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B5E">
              <w:rPr>
                <w:rFonts w:ascii="Times New Roman" w:hAnsi="Times New Roman" w:cs="Times New Roman"/>
              </w:rPr>
              <w:t>Федерации, стратегии социально-экономического развития 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B5E">
              <w:rPr>
                <w:rFonts w:ascii="Times New Roman" w:hAnsi="Times New Roman" w:cs="Times New Roman"/>
              </w:rPr>
              <w:t>края, закон</w:t>
            </w:r>
            <w:r>
              <w:rPr>
                <w:rFonts w:ascii="Times New Roman" w:hAnsi="Times New Roman" w:cs="Times New Roman"/>
              </w:rPr>
              <w:t xml:space="preserve">ам Камчатского края, в которых </w:t>
            </w:r>
            <w:r w:rsidRPr="003A6B5E">
              <w:rPr>
                <w:rFonts w:ascii="Times New Roman" w:hAnsi="Times New Roman" w:cs="Times New Roman"/>
              </w:rPr>
              <w:t>формируются</w:t>
            </w:r>
            <w:r>
              <w:rPr>
                <w:rFonts w:ascii="Times New Roman" w:hAnsi="Times New Roman" w:cs="Times New Roman"/>
              </w:rPr>
              <w:t xml:space="preserve"> и обосновываются цели и приоритеты </w:t>
            </w:r>
            <w:r w:rsidRPr="003A6B5E">
              <w:rPr>
                <w:rFonts w:ascii="Times New Roman" w:hAnsi="Times New Roman" w:cs="Times New Roman"/>
              </w:rPr>
              <w:t>полит</w:t>
            </w:r>
            <w:r>
              <w:rPr>
                <w:rFonts w:ascii="Times New Roman" w:hAnsi="Times New Roman" w:cs="Times New Roman"/>
              </w:rPr>
              <w:t>ики,</w:t>
            </w:r>
            <w:r w:rsidRPr="003A6B5E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 xml:space="preserve"> реализации указанных целей, задачи, подлежащие решению для </w:t>
            </w:r>
            <w:r w:rsidRPr="003A6B5E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B5E">
              <w:rPr>
                <w:rFonts w:ascii="Times New Roman" w:hAnsi="Times New Roman" w:cs="Times New Roman"/>
              </w:rPr>
              <w:t>реализации:</w:t>
            </w:r>
            <w:r w:rsidR="006B1F0E" w:rsidRPr="006B1F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52BD" w:rsidRPr="00B56D10" w:rsidTr="004152BD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повышение уровня социальной ответственности субъекта Российской Федерации благоприятно скажется на общем уровне социально-экономического развития региона, поддержит субъекты туристической деятельности края в условиях мирового финансово-экономического кризиса, повысит конкурентно-способность субъектов за счет конкурсного отбора и как следствие улучшения качественного обслуживания населения</w:t>
            </w:r>
          </w:p>
        </w:tc>
      </w:tr>
      <w:tr w:rsidR="003A6B5E" w:rsidRPr="00B56D10" w:rsidTr="0023127F">
        <w:tc>
          <w:tcPr>
            <w:tcW w:w="766" w:type="dxa"/>
          </w:tcPr>
          <w:p w:rsidR="003A6B5E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805" w:type="dxa"/>
          </w:tcPr>
          <w:p w:rsidR="003A6B5E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(возможных поступлений) краевого бюджета </w:t>
            </w:r>
            <w:r w:rsidRPr="004152B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2BD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 xml:space="preserve">низацию исполнения и исполнение полномочий, </w:t>
            </w:r>
            <w:r w:rsidRPr="004152BD">
              <w:rPr>
                <w:rFonts w:ascii="Times New Roman" w:hAnsi="Times New Roman" w:cs="Times New Roman"/>
              </w:rPr>
              <w:t>необхо</w:t>
            </w:r>
            <w:r>
              <w:rPr>
                <w:rFonts w:ascii="Times New Roman" w:hAnsi="Times New Roman" w:cs="Times New Roman"/>
              </w:rPr>
              <w:t>димых</w:t>
            </w:r>
            <w:r w:rsidRPr="004152BD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2BD">
              <w:rPr>
                <w:rFonts w:ascii="Times New Roman" w:hAnsi="Times New Roman" w:cs="Times New Roman"/>
              </w:rPr>
              <w:t>реализации предлагаемого правового регулирования:</w:t>
            </w:r>
            <w:r w:rsidR="006B1F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D" w:rsidRPr="00B56D10" w:rsidTr="004152BD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дополнительных финансовых расходов краевого бюджета не требуется</w:t>
            </w:r>
          </w:p>
        </w:tc>
      </w:tr>
      <w:tr w:rsidR="003A6B5E" w:rsidRPr="00B56D10" w:rsidTr="0023127F">
        <w:tc>
          <w:tcPr>
            <w:tcW w:w="766" w:type="dxa"/>
          </w:tcPr>
          <w:p w:rsidR="003A6B5E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805" w:type="dxa"/>
          </w:tcPr>
          <w:p w:rsidR="003A6B5E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Наименование новых полномочий/обязанностей:</w:t>
            </w:r>
            <w:r w:rsidR="006B1F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D" w:rsidRPr="00B56D10" w:rsidTr="004152BD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предоставление субсидий субъектам туристской деятельности на развитие культурно-познавательного детско-юношеского туризма и организацию экскурсионных и туристических поездок за пределы Камчатского края</w:t>
            </w:r>
          </w:p>
        </w:tc>
      </w:tr>
      <w:tr w:rsidR="003A6B5E" w:rsidRPr="00B56D10" w:rsidTr="0023127F">
        <w:tc>
          <w:tcPr>
            <w:tcW w:w="766" w:type="dxa"/>
          </w:tcPr>
          <w:p w:rsidR="003A6B5E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805" w:type="dxa"/>
          </w:tcPr>
          <w:p w:rsidR="003A6B5E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Описание видов расходов (возможных поступлений) бюджета:</w:t>
            </w:r>
            <w:r w:rsidR="006B1F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D" w:rsidRPr="00B56D10" w:rsidTr="004152BD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предоставление субсидий субъектам туристской деятельности</w:t>
            </w:r>
          </w:p>
        </w:tc>
      </w:tr>
      <w:tr w:rsidR="003A6B5E" w:rsidRPr="00B56D10" w:rsidTr="0023127F">
        <w:tc>
          <w:tcPr>
            <w:tcW w:w="766" w:type="dxa"/>
          </w:tcPr>
          <w:p w:rsidR="003A6B5E" w:rsidRPr="00FC1B72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B7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805" w:type="dxa"/>
          </w:tcPr>
          <w:p w:rsidR="003A6B5E" w:rsidRPr="00FC1B72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B72">
              <w:rPr>
                <w:rFonts w:ascii="Times New Roman" w:hAnsi="Times New Roman" w:cs="Times New Roman"/>
              </w:rPr>
              <w:t>Количественная оценка расходов (возможных поступлений):</w:t>
            </w:r>
            <w:r w:rsidR="006B1F0E" w:rsidRPr="00FC1B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D" w:rsidRPr="00B56D10" w:rsidTr="004152BD">
        <w:tc>
          <w:tcPr>
            <w:tcW w:w="9571" w:type="dxa"/>
            <w:gridSpan w:val="2"/>
          </w:tcPr>
          <w:p w:rsidR="004152BD" w:rsidRPr="00FC1B72" w:rsidRDefault="00FC1B72" w:rsidP="00FC1B72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ежегодные расходы в сумме 200 тыс. руб. в рамках Основного мероприятия 3.2 «Развитие культурно-познавательного детско-юношеского туризма» Подпрограмма 3 «Обеспечение государственной поддержки для стимулирования развития социального туризма на территории Камчатского края» Государстве</w:t>
            </w:r>
            <w:r>
              <w:rPr>
                <w:rFonts w:ascii="Times New Roman" w:hAnsi="Times New Roman" w:cs="Times New Roman"/>
                <w:i/>
              </w:rPr>
              <w:t xml:space="preserve">нной программы Камчатского края </w:t>
            </w:r>
            <w:r w:rsidRPr="00FC1B72">
              <w:rPr>
                <w:rFonts w:ascii="Times New Roman" w:hAnsi="Times New Roman" w:cs="Times New Roman"/>
                <w:i/>
              </w:rPr>
              <w:t>"Развитие внутреннего и въездного туризма в Камчатском крае на 2014-2018 годы"</w:t>
            </w:r>
            <w:r>
              <w:rPr>
                <w:rFonts w:ascii="Times New Roman" w:hAnsi="Times New Roman" w:cs="Times New Roman"/>
                <w:i/>
              </w:rPr>
              <w:t>, утвержденной постановлением Правительства Камчатского края от 29.11.2013 №554-П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исполнительного органа государственной </w:t>
            </w:r>
            <w:r w:rsidRPr="004152BD">
              <w:rPr>
                <w:rFonts w:ascii="Times New Roman" w:hAnsi="Times New Roman" w:cs="Times New Roman"/>
              </w:rPr>
              <w:t>власти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2BD">
              <w:rPr>
                <w:rFonts w:ascii="Times New Roman" w:hAnsi="Times New Roman" w:cs="Times New Roman"/>
              </w:rPr>
              <w:t>Камчатск</w:t>
            </w:r>
            <w:r>
              <w:rPr>
                <w:rFonts w:ascii="Times New Roman" w:hAnsi="Times New Roman" w:cs="Times New Roman"/>
              </w:rPr>
              <w:t xml:space="preserve">ого края, на который возложена организация исполнения </w:t>
            </w:r>
            <w:r w:rsidRPr="004152B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2BD"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 xml:space="preserve">лнение полномочий, необходимых для реализации </w:t>
            </w:r>
            <w:r w:rsidRPr="004152BD">
              <w:rPr>
                <w:rFonts w:ascii="Times New Roman" w:hAnsi="Times New Roman" w:cs="Times New Roman"/>
              </w:rPr>
              <w:t>предлагаемого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2BD">
              <w:rPr>
                <w:rFonts w:ascii="Times New Roman" w:hAnsi="Times New Roman" w:cs="Times New Roman"/>
              </w:rPr>
              <w:t>правового регулирования:</w:t>
            </w:r>
            <w:r w:rsidR="006B1F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D" w:rsidRPr="00B56D10" w:rsidTr="004152BD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Агентство по туризму и внешним связям Камчатского края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9.4.1.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Единовременные расходы в (год возникновения):</w:t>
            </w:r>
            <w:r w:rsidR="006B1F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D" w:rsidRPr="00B56D10" w:rsidTr="00C31E8A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9.4.2. 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риодические расходы за период:</w:t>
            </w:r>
          </w:p>
        </w:tc>
      </w:tr>
      <w:tr w:rsidR="004152BD" w:rsidRPr="00B56D10" w:rsidTr="00237B00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расходы за 2016 – 2020 годы составят 1 000 тыс. руб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C1B72">
              <w:rPr>
                <w:rFonts w:ascii="Times New Roman" w:hAnsi="Times New Roman" w:cs="Times New Roman"/>
                <w:i/>
              </w:rPr>
              <w:t>в рамках Основного мероприятия 3.2 «Развитие культурно-познавательного детско-юношеского туризма» Подпрограмма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"Развитие внутреннего и въездного туризма в Камчатском крае на 2014-2018 годы", утвержденной постановлением Правительства Камчатского края от 29.11.2013 №554-П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9.4.3. 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Возможные поступления за период:</w:t>
            </w:r>
            <w:r w:rsidR="006B1F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B72" w:rsidRPr="00B56D10" w:rsidTr="007B1893">
        <w:tc>
          <w:tcPr>
            <w:tcW w:w="9571" w:type="dxa"/>
            <w:gridSpan w:val="2"/>
          </w:tcPr>
          <w:p w:rsidR="00FC1B72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9.5.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ого единовременные расходы: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D" w:rsidRPr="00B56D10" w:rsidTr="00AB760A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Итого периодические расходы за год:</w:t>
            </w:r>
            <w:r w:rsidR="00146B9C" w:rsidRPr="00146B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52BD" w:rsidRPr="00B56D10" w:rsidTr="004B7B19">
        <w:tc>
          <w:tcPr>
            <w:tcW w:w="9571" w:type="dxa"/>
            <w:gridSpan w:val="2"/>
          </w:tcPr>
          <w:p w:rsidR="004152B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200 тыс. руб.</w:t>
            </w:r>
            <w:r w:rsidRPr="00FC1B72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 xml:space="preserve"> </w:t>
            </w:r>
            <w:r w:rsidRPr="00FC1B72">
              <w:rPr>
                <w:rFonts w:ascii="Times New Roman" w:hAnsi="Times New Roman" w:cs="Times New Roman"/>
                <w:i/>
              </w:rPr>
              <w:t>в рамках Основного мероприятия 3.2 «Развитие культурно-познавательного детско-юношеского туризма» Подпрограмма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"Развитие внутреннего и въездного туризма в Камчатском крае на 2014-2018 годы", утвержденной постановлением Правительства Камчатского края от 29.11.2013 №554-П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9.7. 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Итого возможные поступления за год: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B72" w:rsidRPr="00B56D10" w:rsidTr="009D4410">
        <w:tc>
          <w:tcPr>
            <w:tcW w:w="9571" w:type="dxa"/>
            <w:gridSpan w:val="2"/>
          </w:tcPr>
          <w:p w:rsidR="00FC1B72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9.8. 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2BD">
              <w:rPr>
                <w:rFonts w:ascii="Times New Roman" w:hAnsi="Times New Roman" w:cs="Times New Roman"/>
              </w:rPr>
              <w:t>Иные сведения о расходах (возможных поступлениях</w:t>
            </w:r>
            <w:r>
              <w:rPr>
                <w:rFonts w:ascii="Times New Roman" w:hAnsi="Times New Roman" w:cs="Times New Roman"/>
              </w:rPr>
              <w:t>):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B72" w:rsidRPr="00B56D10" w:rsidTr="0051693E">
        <w:tc>
          <w:tcPr>
            <w:tcW w:w="9571" w:type="dxa"/>
            <w:gridSpan w:val="2"/>
          </w:tcPr>
          <w:p w:rsidR="00FC1B72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152B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05" w:type="dxa"/>
          </w:tcPr>
          <w:p w:rsidR="004152BD" w:rsidRPr="00B56D10" w:rsidRDefault="004152B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основных групп субъектов предпринимательской</w:t>
            </w:r>
            <w:r w:rsidRPr="004152B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773D">
              <w:rPr>
                <w:rFonts w:ascii="Times New Roman" w:hAnsi="Times New Roman" w:cs="Times New Roman"/>
              </w:rPr>
              <w:t xml:space="preserve">инвестиционной  деятельности, интересы которых будут </w:t>
            </w:r>
            <w:r w:rsidR="004C773D" w:rsidRPr="004C773D">
              <w:rPr>
                <w:rFonts w:ascii="Times New Roman" w:hAnsi="Times New Roman" w:cs="Times New Roman"/>
              </w:rPr>
              <w:t>затронуты</w:t>
            </w:r>
            <w:r w:rsidR="004C773D">
              <w:rPr>
                <w:rFonts w:ascii="Times New Roman" w:hAnsi="Times New Roman" w:cs="Times New Roman"/>
              </w:rPr>
              <w:t xml:space="preserve"> </w:t>
            </w:r>
            <w:r w:rsidR="004C773D" w:rsidRPr="004C773D">
              <w:rPr>
                <w:rFonts w:ascii="Times New Roman" w:hAnsi="Times New Roman" w:cs="Times New Roman"/>
              </w:rPr>
              <w:t>предлагаемым правовым регулированием: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773D" w:rsidRPr="00B56D10" w:rsidTr="00630A07">
        <w:tc>
          <w:tcPr>
            <w:tcW w:w="9571" w:type="dxa"/>
            <w:gridSpan w:val="2"/>
          </w:tcPr>
          <w:p w:rsidR="004C773D" w:rsidRPr="00FC1B72" w:rsidRDefault="00FC1B72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C1B72">
              <w:rPr>
                <w:rFonts w:ascii="Times New Roman" w:hAnsi="Times New Roman" w:cs="Times New Roman"/>
                <w:i/>
              </w:rPr>
              <w:t>юридические лица (за исключением государственных (муниципальных) учреждений), зарегистрированные и осуществляющие туроператорскую деятельность на территории Камчатского края и внесенные в единый федеральный реестр туроператоров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C773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8805" w:type="dxa"/>
          </w:tcPr>
          <w:p w:rsidR="004152BD" w:rsidRPr="00B56D10" w:rsidRDefault="004C773D" w:rsidP="00FC1B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73D">
              <w:rPr>
                <w:rFonts w:ascii="Times New Roman" w:hAnsi="Times New Roman" w:cs="Times New Roman"/>
              </w:rPr>
              <w:t>Группа участников отношений: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773D" w:rsidRPr="00B56D10" w:rsidTr="00EA7AF2">
        <w:tc>
          <w:tcPr>
            <w:tcW w:w="9571" w:type="dxa"/>
            <w:gridSpan w:val="2"/>
          </w:tcPr>
          <w:p w:rsidR="004C773D" w:rsidRPr="00FC1B72" w:rsidRDefault="00A66425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субъекты</w:t>
            </w:r>
            <w:r w:rsidR="00FC1B72" w:rsidRPr="00FC1B72">
              <w:rPr>
                <w:rFonts w:ascii="Times New Roman" w:hAnsi="Times New Roman" w:cs="Times New Roman"/>
                <w:i/>
              </w:rPr>
              <w:t xml:space="preserve"> туристской деятельности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C773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805" w:type="dxa"/>
          </w:tcPr>
          <w:p w:rsidR="004152BD" w:rsidRPr="00B56D10" w:rsidRDefault="004C773D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73D">
              <w:rPr>
                <w:rFonts w:ascii="Times New Roman" w:hAnsi="Times New Roman" w:cs="Times New Roman"/>
              </w:rPr>
              <w:t>Оценка количества участников отношений: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773D" w:rsidRPr="00B56D10" w:rsidTr="000F34AB">
        <w:tc>
          <w:tcPr>
            <w:tcW w:w="9571" w:type="dxa"/>
            <w:gridSpan w:val="2"/>
          </w:tcPr>
          <w:p w:rsidR="004C773D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определяется на конкурсной основе</w:t>
            </w:r>
            <w:r w:rsidR="00A66425">
              <w:rPr>
                <w:rFonts w:ascii="Times New Roman" w:hAnsi="Times New Roman" w:cs="Times New Roman"/>
                <w:i/>
              </w:rPr>
              <w:t xml:space="preserve"> (субъектов: не менее 2</w:t>
            </w:r>
            <w:r>
              <w:rPr>
                <w:rFonts w:ascii="Times New Roman" w:hAnsi="Times New Roman" w:cs="Times New Roman"/>
                <w:i/>
              </w:rPr>
              <w:t>-х, объектов 10 человек)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C773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05" w:type="dxa"/>
          </w:tcPr>
          <w:p w:rsidR="004152BD" w:rsidRPr="00B56D10" w:rsidRDefault="004C773D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обязанностей, которые предполагается возложить на </w:t>
            </w:r>
            <w:r w:rsidRPr="004C773D">
              <w:rPr>
                <w:rFonts w:ascii="Times New Roman" w:hAnsi="Times New Roman" w:cs="Times New Roman"/>
              </w:rPr>
              <w:t>субъекты</w:t>
            </w:r>
            <w:r>
              <w:rPr>
                <w:rFonts w:ascii="Times New Roman" w:hAnsi="Times New Roman" w:cs="Times New Roman"/>
              </w:rPr>
              <w:t xml:space="preserve"> предпринимательской и инвестиционной деятельности предлагаемым правовым регулированием, и (или) описание </w:t>
            </w:r>
            <w:r w:rsidRPr="004C773D">
              <w:rPr>
                <w:rFonts w:ascii="Times New Roman" w:hAnsi="Times New Roman" w:cs="Times New Roman"/>
              </w:rPr>
              <w:t>предполагаемых изменений в содерж</w:t>
            </w:r>
            <w:r>
              <w:rPr>
                <w:rFonts w:ascii="Times New Roman" w:hAnsi="Times New Roman" w:cs="Times New Roman"/>
              </w:rPr>
              <w:t xml:space="preserve">ании существующих обязанностей и </w:t>
            </w:r>
            <w:r w:rsidRPr="004C773D">
              <w:rPr>
                <w:rFonts w:ascii="Times New Roman" w:hAnsi="Times New Roman" w:cs="Times New Roman"/>
              </w:rPr>
              <w:t>ог</w:t>
            </w:r>
            <w:r>
              <w:rPr>
                <w:rFonts w:ascii="Times New Roman" w:hAnsi="Times New Roman" w:cs="Times New Roman"/>
              </w:rPr>
              <w:t>раничений указанных субъектов: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A62624">
        <w:tc>
          <w:tcPr>
            <w:tcW w:w="9571" w:type="dxa"/>
            <w:gridSpan w:val="2"/>
          </w:tcPr>
          <w:p w:rsidR="0023127F" w:rsidRPr="006278C0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2EFC">
              <w:rPr>
                <w:rFonts w:ascii="Times New Roman" w:hAnsi="Times New Roman" w:cs="Times New Roman"/>
                <w:i/>
              </w:rPr>
              <w:t>оказание услуг на развитие культурно-познавательного детско-юношеского туризма и организацию экскурсионных и туристических поездок за пределы Камчатского края для социально-незащищенных категорий граждан</w:t>
            </w:r>
            <w:r>
              <w:rPr>
                <w:rFonts w:ascii="Times New Roman" w:hAnsi="Times New Roman" w:cs="Times New Roman"/>
                <w:i/>
              </w:rPr>
              <w:t>. Предоставление отчета по форме,  утвержденной Порядком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4C773D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805" w:type="dxa"/>
          </w:tcPr>
          <w:p w:rsidR="004152BD" w:rsidRPr="00B56D10" w:rsidRDefault="004C773D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73D">
              <w:rPr>
                <w:rFonts w:ascii="Times New Roman" w:hAnsi="Times New Roman" w:cs="Times New Roman"/>
              </w:rPr>
              <w:t>Группа участников отношений: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282339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орган исполнительной государственной власти - субъекты туристской деятельности и социально-незащищенные категории граждан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805" w:type="dxa"/>
          </w:tcPr>
          <w:p w:rsidR="004152BD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Описание новых или изм</w:t>
            </w:r>
            <w:r>
              <w:rPr>
                <w:rFonts w:ascii="Times New Roman" w:hAnsi="Times New Roman" w:cs="Times New Roman"/>
              </w:rPr>
              <w:t xml:space="preserve">енения содержания существующих </w:t>
            </w:r>
            <w:r w:rsidRPr="0023127F">
              <w:rPr>
                <w:rFonts w:ascii="Times New Roman" w:hAnsi="Times New Roman" w:cs="Times New Roman"/>
              </w:rPr>
              <w:t>обязанностей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27F">
              <w:rPr>
                <w:rFonts w:ascii="Times New Roman" w:hAnsi="Times New Roman" w:cs="Times New Roman"/>
              </w:rPr>
              <w:t>и ограничений: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4C295C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не предусмотрено</w:t>
            </w:r>
          </w:p>
        </w:tc>
      </w:tr>
      <w:tr w:rsidR="004152BD" w:rsidRPr="00B56D10" w:rsidTr="0023127F">
        <w:tc>
          <w:tcPr>
            <w:tcW w:w="766" w:type="dxa"/>
          </w:tcPr>
          <w:p w:rsidR="004152BD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8805" w:type="dxa"/>
          </w:tcPr>
          <w:p w:rsidR="004152BD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Порядок организации исполнения обязанностей и ограничений: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543DD4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разработан порядок предоставления субсидий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изменений расходов субъектов предпринимательской и инвестиционной деятельности на осуществление деятельности, </w:t>
            </w:r>
            <w:r w:rsidRPr="0023127F">
              <w:rPr>
                <w:rFonts w:ascii="Times New Roman" w:hAnsi="Times New Roman" w:cs="Times New Roman"/>
              </w:rPr>
              <w:t>связан</w:t>
            </w:r>
            <w:r>
              <w:rPr>
                <w:rFonts w:ascii="Times New Roman" w:hAnsi="Times New Roman" w:cs="Times New Roman"/>
              </w:rPr>
              <w:t xml:space="preserve">ной с необходимостью соблюдать обязанности и ограничения, возлагаемые на них или изменяемые предлагаемым правовым </w:t>
            </w:r>
            <w:r w:rsidRPr="0023127F">
              <w:rPr>
                <w:rFonts w:ascii="Times New Roman" w:hAnsi="Times New Roman" w:cs="Times New Roman"/>
              </w:rPr>
              <w:t>регулированием:</w:t>
            </w:r>
            <w:r w:rsidR="00146B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2C7758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добровольное участие субъектов туристической деятельности при предоставлении услуг в социальном туризме повлечет расходы субъектов в размере 10% от стоимости услуг (90% компенсируются средствами краевого бюджета)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уппа участников отношений:</w:t>
            </w:r>
            <w:r w:rsidR="00507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9F0034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орган исполнительной государственной власти - субъекты туристской деятельности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Описание новых или изм</w:t>
            </w:r>
            <w:r>
              <w:rPr>
                <w:rFonts w:ascii="Times New Roman" w:hAnsi="Times New Roman" w:cs="Times New Roman"/>
              </w:rPr>
              <w:t xml:space="preserve">енения содержания существующих </w:t>
            </w:r>
            <w:r w:rsidRPr="0023127F">
              <w:rPr>
                <w:rFonts w:ascii="Times New Roman" w:hAnsi="Times New Roman" w:cs="Times New Roman"/>
              </w:rPr>
              <w:t>обязанностей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27F">
              <w:rPr>
                <w:rFonts w:ascii="Times New Roman" w:hAnsi="Times New Roman" w:cs="Times New Roman"/>
              </w:rPr>
              <w:t>и ограничений:</w:t>
            </w:r>
            <w:r w:rsidR="00507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B30635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не предусмотрено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Описание и оценка видов расходов:</w:t>
            </w:r>
            <w:r w:rsidR="00507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8D799B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ежегодное субсидирование в размере 200 тыс. руб.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E2EFC">
              <w:rPr>
                <w:rFonts w:ascii="Times New Roman" w:hAnsi="Times New Roman" w:cs="Times New Roman"/>
                <w:i/>
              </w:rPr>
              <w:t>в рамках Основного мероприятия 3.2 «Развитие культурно-познавательного детско-юношеского туризма» Подпрограмма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"Развитие внутреннего и въездного туризма в Камчатском крае на 2014-2018 годы", утвержденной постановлением Правительства Камчатского края от 29.11.2013 №554-П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рисков невозможности решения проблемы </w:t>
            </w:r>
            <w:r w:rsidRPr="0023127F">
              <w:rPr>
                <w:rFonts w:ascii="Times New Roman" w:hAnsi="Times New Roman" w:cs="Times New Roman"/>
              </w:rPr>
              <w:t>предложенным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27F">
              <w:rPr>
                <w:rFonts w:ascii="Times New Roman" w:hAnsi="Times New Roman" w:cs="Times New Roman"/>
              </w:rPr>
              <w:t>способом, рисков непредвиденных негативных последствий:</w:t>
            </w:r>
            <w:r w:rsidR="00507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1E64E0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возможное нарастание социальной напряженности среди социально-незащищенной категории граждан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Риски решения проблемы предложенным способом:</w:t>
            </w:r>
            <w:r w:rsidR="00507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EA744C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низкие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Оценка вероятности наступления рисков:</w:t>
            </w:r>
            <w:r w:rsidR="00507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2C0762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вероятность наступления рисков низкая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Риски негативных последствий:</w:t>
            </w:r>
            <w:r w:rsidR="00F14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F1219D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при отсутствии данного вида государственной поддержки оказание услуг данной категории граждан не осуществляются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23127F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8805" w:type="dxa"/>
          </w:tcPr>
          <w:p w:rsidR="0023127F" w:rsidRPr="00B56D10" w:rsidRDefault="0023127F" w:rsidP="00CE2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27F">
              <w:rPr>
                <w:rFonts w:ascii="Times New Roman" w:hAnsi="Times New Roman" w:cs="Times New Roman"/>
              </w:rPr>
              <w:t>Оценка вероятности наступления рис</w:t>
            </w:r>
            <w:r>
              <w:rPr>
                <w:rFonts w:ascii="Times New Roman" w:hAnsi="Times New Roman" w:cs="Times New Roman"/>
              </w:rPr>
              <w:t>ков:</w:t>
            </w:r>
            <w:r w:rsidR="00F14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127F" w:rsidRPr="00B56D10" w:rsidTr="00CB3BFA">
        <w:tc>
          <w:tcPr>
            <w:tcW w:w="9571" w:type="dxa"/>
            <w:gridSpan w:val="2"/>
          </w:tcPr>
          <w:p w:rsidR="0023127F" w:rsidRPr="00CE2EFC" w:rsidRDefault="00CE2EFC" w:rsidP="002303D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CE2EFC">
              <w:rPr>
                <w:rFonts w:ascii="Times New Roman" w:hAnsi="Times New Roman" w:cs="Times New Roman"/>
                <w:i/>
              </w:rPr>
              <w:t>высокая</w:t>
            </w: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300272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805" w:type="dxa"/>
          </w:tcPr>
          <w:p w:rsidR="0023127F" w:rsidRPr="00B56D10" w:rsidRDefault="00300272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результатах публичных консультаций по </w:t>
            </w:r>
            <w:r w:rsidRPr="00300272">
              <w:rPr>
                <w:rFonts w:ascii="Times New Roman" w:hAnsi="Times New Roman" w:cs="Times New Roman"/>
              </w:rPr>
              <w:t>проекту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272">
              <w:rPr>
                <w:rFonts w:ascii="Times New Roman" w:hAnsi="Times New Roman" w:cs="Times New Roman"/>
              </w:rPr>
              <w:t>нормативного правового акта:</w:t>
            </w:r>
          </w:p>
        </w:tc>
      </w:tr>
      <w:tr w:rsidR="00300272" w:rsidRPr="00B56D10" w:rsidTr="00C1322F">
        <w:tc>
          <w:tcPr>
            <w:tcW w:w="9571" w:type="dxa"/>
            <w:gridSpan w:val="2"/>
          </w:tcPr>
          <w:p w:rsidR="00300272" w:rsidRPr="00B56D10" w:rsidRDefault="00300272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8805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электронный адрес размещения уведомления </w:t>
            </w:r>
            <w:r w:rsidRPr="005F630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30E">
              <w:rPr>
                <w:rFonts w:ascii="Times New Roman" w:hAnsi="Times New Roman" w:cs="Times New Roman"/>
              </w:rPr>
              <w:t>информационно-телекоммуникационной сети "Интернет":</w:t>
            </w:r>
          </w:p>
        </w:tc>
      </w:tr>
      <w:tr w:rsidR="005F630E" w:rsidRPr="00B56D10" w:rsidTr="00346656">
        <w:tc>
          <w:tcPr>
            <w:tcW w:w="9571" w:type="dxa"/>
            <w:gridSpan w:val="2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8805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Срок, в течение которого регулирующим органом </w:t>
            </w:r>
            <w:r w:rsidRPr="005F630E">
              <w:rPr>
                <w:rFonts w:ascii="Times New Roman" w:hAnsi="Times New Roman" w:cs="Times New Roman"/>
              </w:rPr>
              <w:t>принимались</w:t>
            </w:r>
            <w:r w:rsidRPr="005F630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Pr="005F630E">
              <w:rPr>
                <w:rFonts w:ascii="Times New Roman" w:hAnsi="Times New Roman" w:cs="Times New Roman"/>
              </w:rPr>
              <w:t>предложения в связи с проведением публичных консультаций:</w:t>
            </w:r>
          </w:p>
        </w:tc>
      </w:tr>
      <w:tr w:rsidR="005F630E" w:rsidRPr="00B56D10" w:rsidTr="004E660B">
        <w:tc>
          <w:tcPr>
            <w:tcW w:w="9571" w:type="dxa"/>
            <w:gridSpan w:val="2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8805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исполнительных органах государственной </w:t>
            </w:r>
            <w:r w:rsidRPr="005F630E">
              <w:rPr>
                <w:rFonts w:ascii="Times New Roman" w:hAnsi="Times New Roman" w:cs="Times New Roman"/>
              </w:rPr>
              <w:t>власти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30E">
              <w:rPr>
                <w:rFonts w:ascii="Times New Roman" w:hAnsi="Times New Roman" w:cs="Times New Roman"/>
              </w:rPr>
              <w:t>Камчатского края и представителях предпринимательского сообщества,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30E">
              <w:rPr>
                <w:rFonts w:ascii="Times New Roman" w:hAnsi="Times New Roman" w:cs="Times New Roman"/>
              </w:rPr>
              <w:t>извещенных о проведении публичных консультаций:</w:t>
            </w:r>
          </w:p>
        </w:tc>
      </w:tr>
      <w:tr w:rsidR="005F630E" w:rsidRPr="00B56D10" w:rsidTr="004E528D">
        <w:tc>
          <w:tcPr>
            <w:tcW w:w="9571" w:type="dxa"/>
            <w:gridSpan w:val="2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805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630E">
              <w:rPr>
                <w:rFonts w:ascii="Times New Roman" w:hAnsi="Times New Roman" w:cs="Times New Roman"/>
              </w:rPr>
              <w:t>Сведения о лицах, представивших предложения:</w:t>
            </w:r>
          </w:p>
        </w:tc>
      </w:tr>
      <w:tr w:rsidR="005F630E" w:rsidRPr="00B56D10" w:rsidTr="00F30DAB">
        <w:tc>
          <w:tcPr>
            <w:tcW w:w="9571" w:type="dxa"/>
            <w:gridSpan w:val="2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8805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структурных подразделениях регулирующего органа, </w:t>
            </w:r>
            <w:r w:rsidRPr="005F630E">
              <w:rPr>
                <w:rFonts w:ascii="Times New Roman" w:hAnsi="Times New Roman" w:cs="Times New Roman"/>
              </w:rPr>
              <w:t>рассмотревших представленные предложения:</w:t>
            </w:r>
          </w:p>
        </w:tc>
      </w:tr>
      <w:tr w:rsidR="005F630E" w:rsidRPr="00B56D10" w:rsidTr="004F4152">
        <w:tc>
          <w:tcPr>
            <w:tcW w:w="9571" w:type="dxa"/>
            <w:gridSpan w:val="2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27F" w:rsidRPr="00B56D10" w:rsidTr="0023127F">
        <w:tc>
          <w:tcPr>
            <w:tcW w:w="766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8805" w:type="dxa"/>
          </w:tcPr>
          <w:p w:rsidR="0023127F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630E">
              <w:rPr>
                <w:rFonts w:ascii="Times New Roman" w:hAnsi="Times New Roman" w:cs="Times New Roman"/>
              </w:rPr>
              <w:t>Иные сведения о проведении публичных консультаций:</w:t>
            </w:r>
          </w:p>
        </w:tc>
      </w:tr>
      <w:tr w:rsidR="005F630E" w:rsidRPr="00B56D10" w:rsidTr="00BC0B78">
        <w:tc>
          <w:tcPr>
            <w:tcW w:w="9571" w:type="dxa"/>
            <w:gridSpan w:val="2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30E" w:rsidRPr="00B56D10" w:rsidTr="005F630E">
        <w:tc>
          <w:tcPr>
            <w:tcW w:w="766" w:type="dxa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805" w:type="dxa"/>
          </w:tcPr>
          <w:p w:rsidR="005F630E" w:rsidRPr="00B56D10" w:rsidRDefault="005F630E" w:rsidP="005F63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сведения, позволяющие </w:t>
            </w:r>
            <w:r w:rsidRPr="005F630E">
              <w:rPr>
                <w:rFonts w:ascii="Times New Roman" w:hAnsi="Times New Roman" w:cs="Times New Roman"/>
              </w:rPr>
              <w:t>оцени</w:t>
            </w:r>
            <w:r>
              <w:rPr>
                <w:rFonts w:ascii="Times New Roman" w:hAnsi="Times New Roman" w:cs="Times New Roman"/>
              </w:rPr>
              <w:t xml:space="preserve">ть обоснованность вводимых обязанностей, запретов и ограничений для субъектов </w:t>
            </w:r>
            <w:r w:rsidRPr="005F630E">
              <w:rPr>
                <w:rFonts w:ascii="Times New Roman" w:hAnsi="Times New Roman" w:cs="Times New Roman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</w:rPr>
              <w:t xml:space="preserve">и инвестиционной деятельности, обоснованность расходов субъектов предпринимательской и </w:t>
            </w:r>
            <w:r w:rsidRPr="005F630E">
              <w:rPr>
                <w:rFonts w:ascii="Times New Roman" w:hAnsi="Times New Roman" w:cs="Times New Roman"/>
              </w:rPr>
              <w:t>инвестиционн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5F630E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ятельности и расходов краевого бюджета, возникновению которых </w:t>
            </w:r>
            <w:r w:rsidRPr="005F630E">
              <w:rPr>
                <w:rFonts w:ascii="Times New Roman" w:hAnsi="Times New Roman" w:cs="Times New Roman"/>
              </w:rPr>
              <w:t>способствуют положения проекта нор</w:t>
            </w:r>
            <w:r>
              <w:rPr>
                <w:rFonts w:ascii="Times New Roman" w:hAnsi="Times New Roman" w:cs="Times New Roman"/>
              </w:rPr>
              <w:t>мативного правового акта:</w:t>
            </w:r>
          </w:p>
        </w:tc>
      </w:tr>
      <w:tr w:rsidR="005F630E" w:rsidRPr="00B56D10" w:rsidTr="00A34EFF">
        <w:tc>
          <w:tcPr>
            <w:tcW w:w="9571" w:type="dxa"/>
            <w:gridSpan w:val="2"/>
          </w:tcPr>
          <w:p w:rsidR="005F630E" w:rsidRPr="00B56D10" w:rsidRDefault="005F630E" w:rsidP="00230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6D10" w:rsidRDefault="00B56D10" w:rsidP="005F630E">
      <w:pPr>
        <w:pStyle w:val="ConsPlusCell"/>
        <w:jc w:val="both"/>
      </w:pPr>
    </w:p>
    <w:p w:rsidR="00B56D10" w:rsidRDefault="00B56D10" w:rsidP="00B56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6EF" w:rsidRDefault="004E56EF" w:rsidP="00B56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6EF" w:rsidRPr="005F630E" w:rsidRDefault="004E56EF" w:rsidP="00B56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E56EF" w:rsidRPr="005F630E" w:rsidSect="00DB0B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0B5D34"/>
    <w:multiLevelType w:val="hybridMultilevel"/>
    <w:tmpl w:val="59DCC92C"/>
    <w:lvl w:ilvl="0" w:tplc="62E0C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54"/>
    <w:rsid w:val="00146B9C"/>
    <w:rsid w:val="0023127F"/>
    <w:rsid w:val="00300272"/>
    <w:rsid w:val="003A6B5E"/>
    <w:rsid w:val="004152BD"/>
    <w:rsid w:val="004B3B32"/>
    <w:rsid w:val="004C773D"/>
    <w:rsid w:val="004E56EF"/>
    <w:rsid w:val="00507FE3"/>
    <w:rsid w:val="005F630E"/>
    <w:rsid w:val="006278C0"/>
    <w:rsid w:val="006B1F0E"/>
    <w:rsid w:val="006D34B9"/>
    <w:rsid w:val="00793B03"/>
    <w:rsid w:val="007B73E9"/>
    <w:rsid w:val="007F18AC"/>
    <w:rsid w:val="00963354"/>
    <w:rsid w:val="00A60317"/>
    <w:rsid w:val="00A66425"/>
    <w:rsid w:val="00B56D10"/>
    <w:rsid w:val="00C628E4"/>
    <w:rsid w:val="00C767DE"/>
    <w:rsid w:val="00CE2EFC"/>
    <w:rsid w:val="00DB0B62"/>
    <w:rsid w:val="00E733BB"/>
    <w:rsid w:val="00F14337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99EC5-A0AF-445C-A844-6C0818E1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6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5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Максим Владимирович</dc:creator>
  <cp:lastModifiedBy>Лапицкая Виктория Валерьевна</cp:lastModifiedBy>
  <cp:revision>13</cp:revision>
  <cp:lastPrinted>2016-08-02T22:16:00Z</cp:lastPrinted>
  <dcterms:created xsi:type="dcterms:W3CDTF">2016-07-28T05:21:00Z</dcterms:created>
  <dcterms:modified xsi:type="dcterms:W3CDTF">2016-08-03T04:22:00Z</dcterms:modified>
</cp:coreProperties>
</file>