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4B724F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744CFC">
              <w:rPr>
                <w:b/>
                <w:sz w:val="28"/>
                <w:szCs w:val="28"/>
              </w:rPr>
              <w:t>0</w:t>
            </w:r>
            <w:r w:rsidR="004B724F">
              <w:rPr>
                <w:b/>
                <w:sz w:val="28"/>
                <w:szCs w:val="28"/>
              </w:rPr>
              <w:t>3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</w:t>
            </w:r>
            <w:r w:rsidR="00744CFC">
              <w:rPr>
                <w:b/>
                <w:sz w:val="28"/>
                <w:szCs w:val="28"/>
              </w:rPr>
              <w:t>20</w:t>
            </w:r>
            <w:r w:rsidRPr="00942C89">
              <w:rPr>
                <w:b/>
                <w:sz w:val="28"/>
                <w:szCs w:val="28"/>
              </w:rPr>
              <w:t xml:space="preserve"> г</w:t>
            </w:r>
            <w:r w:rsidRPr="000E0658">
              <w:rPr>
                <w:b/>
                <w:sz w:val="28"/>
                <w:szCs w:val="28"/>
              </w:rPr>
              <w:t xml:space="preserve">.                                                  </w:t>
            </w:r>
            <w:r w:rsidR="006577C1" w:rsidRPr="000E0658">
              <w:rPr>
                <w:b/>
                <w:sz w:val="28"/>
                <w:szCs w:val="28"/>
              </w:rPr>
              <w:t xml:space="preserve">                  </w:t>
            </w:r>
            <w:r w:rsidR="00A73CCC" w:rsidRPr="000E0658">
              <w:rPr>
                <w:b/>
                <w:sz w:val="28"/>
                <w:szCs w:val="28"/>
              </w:rPr>
              <w:t xml:space="preserve">     </w:t>
            </w:r>
            <w:r w:rsidRPr="000E0658">
              <w:rPr>
                <w:b/>
                <w:sz w:val="28"/>
                <w:szCs w:val="28"/>
              </w:rPr>
              <w:t>№</w:t>
            </w:r>
            <w:r w:rsidR="001E7718" w:rsidRPr="000E0658">
              <w:rPr>
                <w:b/>
                <w:sz w:val="28"/>
                <w:szCs w:val="28"/>
              </w:rPr>
              <w:t xml:space="preserve"> </w:t>
            </w:r>
            <w:r w:rsidRPr="000E0658">
              <w:rPr>
                <w:b/>
                <w:sz w:val="28"/>
                <w:szCs w:val="28"/>
              </w:rPr>
              <w:t xml:space="preserve"> </w:t>
            </w:r>
            <w:r w:rsidR="00133229" w:rsidRPr="000E0658">
              <w:rPr>
                <w:b/>
                <w:sz w:val="28"/>
                <w:szCs w:val="28"/>
              </w:rPr>
              <w:t>3</w:t>
            </w:r>
            <w:r w:rsidR="000E0658" w:rsidRPr="000E0658">
              <w:rPr>
                <w:b/>
                <w:sz w:val="28"/>
                <w:szCs w:val="28"/>
              </w:rPr>
              <w:t>21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744CF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</w:t>
            </w:r>
            <w:r w:rsidR="00133229">
              <w:rPr>
                <w:sz w:val="28"/>
                <w:szCs w:val="28"/>
              </w:rPr>
              <w:t>2</w:t>
            </w:r>
            <w:r w:rsidR="00744CFC">
              <w:rPr>
                <w:sz w:val="28"/>
                <w:szCs w:val="28"/>
              </w:rPr>
              <w:t>1</w:t>
            </w:r>
            <w:r w:rsidR="00AD5749" w:rsidRPr="00AD5749">
              <w:rPr>
                <w:sz w:val="28"/>
                <w:szCs w:val="28"/>
              </w:rPr>
              <w:t xml:space="preserve">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AD5749">
        <w:rPr>
          <w:sz w:val="28"/>
          <w:szCs w:val="28"/>
        </w:rPr>
        <w:t>п</w:t>
      </w:r>
      <w:r w:rsidR="00AD5749" w:rsidRPr="00AD5749">
        <w:rPr>
          <w:sz w:val="28"/>
          <w:szCs w:val="28"/>
        </w:rPr>
        <w:t>остановление</w:t>
      </w:r>
      <w:r w:rsidR="00AD5749">
        <w:rPr>
          <w:sz w:val="28"/>
          <w:szCs w:val="28"/>
        </w:rPr>
        <w:t>м</w:t>
      </w:r>
      <w:r w:rsidR="00AD5749" w:rsidRPr="00AD5749">
        <w:rPr>
          <w:sz w:val="28"/>
          <w:szCs w:val="28"/>
        </w:rPr>
        <w:t xml:space="preserve"> Правительства Камчатского края от 29.11.2013 </w:t>
      </w:r>
      <w:r w:rsidR="00AD5749">
        <w:rPr>
          <w:sz w:val="28"/>
          <w:szCs w:val="28"/>
        </w:rPr>
        <w:t xml:space="preserve">     </w:t>
      </w:r>
      <w:r w:rsidR="00AD5749" w:rsidRPr="00AD5749">
        <w:rPr>
          <w:sz w:val="28"/>
          <w:szCs w:val="28"/>
        </w:rPr>
        <w:t>№ 551-П «О государственной программе Камчатского края «Развитие транспортной системы в Камчатском крае»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 xml:space="preserve">от 11.10.2018 № 413 «О порядке принятия решений о разработке муниципальных программ Пионерского сельского поселения, их формирования и реализации», </w:t>
      </w:r>
      <w:r w:rsidR="00744CFC" w:rsidRPr="00744CFC">
        <w:rPr>
          <w:sz w:val="28"/>
          <w:szCs w:val="28"/>
        </w:rPr>
        <w:t>постановлением администрации Пионерского сельского поселения от 24.09.2020 № 267 «О перечне</w:t>
      </w:r>
      <w:proofErr w:type="gramEnd"/>
      <w:r w:rsidR="00744CFC" w:rsidRPr="00744CFC">
        <w:rPr>
          <w:sz w:val="28"/>
          <w:szCs w:val="28"/>
        </w:rPr>
        <w:t xml:space="preserve"> муниципальных программ Пионерского сельского поселения на 2021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AD5749" w:rsidRPr="00AD5749">
        <w:rPr>
          <w:sz w:val="28"/>
          <w:szCs w:val="28"/>
        </w:rPr>
        <w:t>Развитие транспортной системы  Пионерского сельского  поселения на 20</w:t>
      </w:r>
      <w:r w:rsidR="00133229">
        <w:rPr>
          <w:sz w:val="28"/>
          <w:szCs w:val="28"/>
        </w:rPr>
        <w:t>2</w:t>
      </w:r>
      <w:r w:rsidR="00744CFC">
        <w:rPr>
          <w:sz w:val="28"/>
          <w:szCs w:val="28"/>
        </w:rPr>
        <w:t>1</w:t>
      </w:r>
      <w:r w:rsidR="00AD5749" w:rsidRPr="00AD5749">
        <w:rPr>
          <w:sz w:val="28"/>
          <w:szCs w:val="28"/>
        </w:rPr>
        <w:t xml:space="preserve">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0E0658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0E0658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0E0658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0E0658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0E0658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0E0658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0E0658">
        <w:rPr>
          <w:sz w:val="28"/>
          <w:szCs w:val="28"/>
          <w:lang w:eastAsia="ru-RU"/>
        </w:rPr>
        <w:t xml:space="preserve"> от </w:t>
      </w:r>
      <w:r w:rsidR="00744CFC" w:rsidRPr="000E0658">
        <w:rPr>
          <w:sz w:val="28"/>
          <w:szCs w:val="28"/>
          <w:lang w:eastAsia="ru-RU"/>
        </w:rPr>
        <w:t>0</w:t>
      </w:r>
      <w:r w:rsidR="000E0658" w:rsidRPr="000E0658">
        <w:rPr>
          <w:sz w:val="28"/>
          <w:szCs w:val="28"/>
          <w:lang w:eastAsia="ru-RU"/>
        </w:rPr>
        <w:t>3</w:t>
      </w:r>
      <w:r w:rsidRPr="000E0658">
        <w:rPr>
          <w:sz w:val="28"/>
          <w:szCs w:val="28"/>
          <w:lang w:eastAsia="ru-RU"/>
        </w:rPr>
        <w:t>.11.20</w:t>
      </w:r>
      <w:r w:rsidR="00744CFC" w:rsidRPr="000E0658">
        <w:rPr>
          <w:sz w:val="28"/>
          <w:szCs w:val="28"/>
          <w:lang w:eastAsia="ru-RU"/>
        </w:rPr>
        <w:t>20</w:t>
      </w:r>
      <w:r w:rsidRPr="000E0658">
        <w:rPr>
          <w:sz w:val="28"/>
          <w:szCs w:val="28"/>
          <w:lang w:eastAsia="ru-RU"/>
        </w:rPr>
        <w:t xml:space="preserve"> №</w:t>
      </w:r>
      <w:r w:rsidR="00EE0F1D" w:rsidRPr="000E0658">
        <w:rPr>
          <w:sz w:val="28"/>
          <w:szCs w:val="28"/>
          <w:lang w:eastAsia="ru-RU"/>
        </w:rPr>
        <w:t xml:space="preserve"> </w:t>
      </w:r>
      <w:r w:rsidR="00133229" w:rsidRPr="000E0658">
        <w:rPr>
          <w:sz w:val="28"/>
          <w:szCs w:val="28"/>
          <w:lang w:eastAsia="ru-RU"/>
        </w:rPr>
        <w:t>3</w:t>
      </w:r>
      <w:r w:rsidR="000E0658" w:rsidRPr="000E0658">
        <w:rPr>
          <w:sz w:val="28"/>
          <w:szCs w:val="28"/>
          <w:lang w:eastAsia="ru-RU"/>
        </w:rPr>
        <w:t>2</w:t>
      </w:r>
      <w:r w:rsidR="00133229" w:rsidRPr="000E0658">
        <w:rPr>
          <w:sz w:val="28"/>
          <w:szCs w:val="28"/>
          <w:lang w:eastAsia="ru-RU"/>
        </w:rPr>
        <w:t>1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AD5749" w:rsidRPr="00AD5749">
        <w:rPr>
          <w:b/>
          <w:sz w:val="28"/>
          <w:szCs w:val="28"/>
          <w:lang w:val="x-none" w:eastAsia="x-none"/>
        </w:rPr>
        <w:t>Развитие транспортной системы Пионерского сельского поселения на 20</w:t>
      </w:r>
      <w:r w:rsidR="00133229">
        <w:rPr>
          <w:b/>
          <w:sz w:val="28"/>
          <w:szCs w:val="28"/>
          <w:lang w:eastAsia="x-none"/>
        </w:rPr>
        <w:t>2</w:t>
      </w:r>
      <w:r w:rsidR="00744CFC">
        <w:rPr>
          <w:b/>
          <w:sz w:val="28"/>
          <w:szCs w:val="28"/>
          <w:lang w:eastAsia="x-none"/>
        </w:rPr>
        <w:t>1</w:t>
      </w:r>
      <w:r w:rsidR="00AD5749" w:rsidRPr="00AD5749">
        <w:rPr>
          <w:b/>
          <w:sz w:val="28"/>
          <w:szCs w:val="28"/>
          <w:lang w:val="x-none" w:eastAsia="x-none"/>
        </w:rPr>
        <w:t xml:space="preserve">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744CFC" w:rsidRDefault="00744CFC" w:rsidP="00744CFC">
      <w:pPr>
        <w:widowControl w:val="0"/>
        <w:snapToGri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33229" w:rsidRPr="00744CFC">
        <w:rPr>
          <w:sz w:val="28"/>
          <w:szCs w:val="28"/>
        </w:rPr>
        <w:t xml:space="preserve"> </w:t>
      </w:r>
      <w:r w:rsidR="00823B1A" w:rsidRPr="00744CFC">
        <w:rPr>
          <w:sz w:val="28"/>
          <w:szCs w:val="28"/>
        </w:rPr>
        <w:t>г</w:t>
      </w:r>
      <w:r w:rsidR="00D812A1" w:rsidRPr="00744CFC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AD5749" w:rsidRPr="00AD5749">
        <w:rPr>
          <w:b/>
          <w:sz w:val="28"/>
          <w:szCs w:val="28"/>
        </w:rPr>
        <w:t>Развитие транспортной системы Пионерского сельского поселения на 20</w:t>
      </w:r>
      <w:r w:rsidR="00133229">
        <w:rPr>
          <w:b/>
          <w:sz w:val="28"/>
          <w:szCs w:val="28"/>
        </w:rPr>
        <w:t>2</w:t>
      </w:r>
      <w:r w:rsidR="00744CFC">
        <w:rPr>
          <w:b/>
          <w:sz w:val="28"/>
          <w:szCs w:val="28"/>
        </w:rPr>
        <w:t>1</w:t>
      </w:r>
      <w:r w:rsidR="00AD5749" w:rsidRPr="00AD5749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</w:t>
            </w:r>
            <w:r w:rsidR="00133229">
              <w:rPr>
                <w:sz w:val="28"/>
                <w:szCs w:val="28"/>
              </w:rPr>
              <w:t>2</w:t>
            </w:r>
            <w:r w:rsidR="00744CFC">
              <w:rPr>
                <w:sz w:val="28"/>
                <w:szCs w:val="28"/>
              </w:rPr>
              <w:t>1</w:t>
            </w:r>
            <w:r w:rsidR="00AD5749" w:rsidRPr="00AD5749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AD5749" w:rsidP="00AD5749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Постановление Правительства Камчатского края от 29.11.2013 № 551-П «О государственной программе Камчатского края «Развитие транспортной системы в Камчатском крае»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744CFC" w:rsidRPr="00744CFC" w:rsidRDefault="00744CFC" w:rsidP="00744CFC">
            <w:pPr>
              <w:pStyle w:val="afe"/>
              <w:numPr>
                <w:ilvl w:val="0"/>
                <w:numId w:val="27"/>
              </w:numPr>
              <w:ind w:left="85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4CFC">
              <w:rPr>
                <w:sz w:val="28"/>
                <w:szCs w:val="28"/>
              </w:rPr>
              <w:t>остановление администрации Пионерского сельского поселения от 24.09.2020 № 267 «О перечне муниципальных программ Пионерского сельского поселения на 2021 год»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061FB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1. Развитие современной и эффективной </w:t>
            </w:r>
            <w:r w:rsidR="00744CFC">
              <w:rPr>
                <w:sz w:val="28"/>
                <w:szCs w:val="28"/>
              </w:rPr>
              <w:t>транспортной инфраструктуры.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2. Повышение доступности автотранспортных услуг для населения Пионерского сельского поселения.</w:t>
            </w:r>
          </w:p>
          <w:p w:rsidR="00AD5749" w:rsidRDefault="00AD5749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1. Обеспечение соответствия автомобильных дорог общего пользования нормативным требованиям;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2. Формирование единой дорожной сети круглогодичной доступности для населения.</w:t>
            </w:r>
          </w:p>
          <w:p w:rsidR="00E061FB" w:rsidRPr="00DA51B6" w:rsidRDefault="00E061FB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  <w:r w:rsidRPr="00AD5749">
              <w:rPr>
                <w:sz w:val="28"/>
                <w:szCs w:val="28"/>
              </w:rPr>
              <w:t xml:space="preserve"> </w:t>
            </w:r>
          </w:p>
          <w:p w:rsidR="00AD5749" w:rsidRPr="00DA51B6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4B724F" w:rsidRDefault="00AD5749" w:rsidP="00AD5749">
            <w:pPr>
              <w:jc w:val="both"/>
              <w:rPr>
                <w:sz w:val="28"/>
                <w:szCs w:val="28"/>
              </w:rPr>
            </w:pPr>
            <w:r w:rsidRPr="004B724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133229" w:rsidRPr="004B724F">
              <w:rPr>
                <w:b/>
                <w:sz w:val="28"/>
                <w:szCs w:val="28"/>
              </w:rPr>
              <w:t>16</w:t>
            </w:r>
            <w:r w:rsidR="004B724F" w:rsidRPr="004B724F">
              <w:rPr>
                <w:b/>
                <w:sz w:val="28"/>
                <w:szCs w:val="28"/>
              </w:rPr>
              <w:t> 093 878</w:t>
            </w:r>
            <w:r w:rsidR="00133229" w:rsidRPr="004B724F">
              <w:rPr>
                <w:b/>
                <w:sz w:val="28"/>
                <w:szCs w:val="28"/>
              </w:rPr>
              <w:t>,00</w:t>
            </w:r>
            <w:r w:rsidRPr="004B724F">
              <w:rPr>
                <w:sz w:val="28"/>
                <w:szCs w:val="28"/>
              </w:rPr>
              <w:t xml:space="preserve"> рублей, в том числе:</w:t>
            </w:r>
          </w:p>
          <w:p w:rsidR="00AD5749" w:rsidRPr="004B724F" w:rsidRDefault="00AD5749" w:rsidP="00AD5749">
            <w:pPr>
              <w:jc w:val="both"/>
              <w:rPr>
                <w:sz w:val="28"/>
                <w:szCs w:val="28"/>
              </w:rPr>
            </w:pPr>
            <w:r w:rsidRPr="004B724F">
              <w:rPr>
                <w:sz w:val="28"/>
                <w:szCs w:val="28"/>
              </w:rPr>
              <w:t>- федеральный бюджет – 0,00  рублей;</w:t>
            </w:r>
          </w:p>
          <w:p w:rsidR="00AD5749" w:rsidRPr="004B724F" w:rsidRDefault="00AD5749" w:rsidP="00AD5749">
            <w:pPr>
              <w:jc w:val="both"/>
              <w:rPr>
                <w:sz w:val="28"/>
                <w:szCs w:val="28"/>
              </w:rPr>
            </w:pPr>
            <w:r w:rsidRPr="004B724F">
              <w:rPr>
                <w:sz w:val="28"/>
                <w:szCs w:val="28"/>
              </w:rPr>
              <w:t>- краевой бюджет –</w:t>
            </w:r>
            <w:r w:rsidR="00D1334E" w:rsidRPr="004B724F">
              <w:rPr>
                <w:sz w:val="28"/>
                <w:szCs w:val="28"/>
              </w:rPr>
              <w:t xml:space="preserve"> </w:t>
            </w:r>
            <w:r w:rsidR="004B724F">
              <w:rPr>
                <w:sz w:val="28"/>
                <w:szCs w:val="28"/>
              </w:rPr>
              <w:t>15 772 000</w:t>
            </w:r>
            <w:r w:rsidRPr="004B724F">
              <w:rPr>
                <w:sz w:val="28"/>
                <w:szCs w:val="28"/>
              </w:rPr>
              <w:t xml:space="preserve">,00  рублей; 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4B724F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4B724F">
              <w:rPr>
                <w:sz w:val="28"/>
                <w:szCs w:val="28"/>
              </w:rPr>
              <w:t>321 878</w:t>
            </w:r>
            <w:r w:rsidRPr="004B724F">
              <w:rPr>
                <w:sz w:val="28"/>
                <w:szCs w:val="28"/>
              </w:rPr>
              <w:t>,00 рублей.</w:t>
            </w:r>
          </w:p>
          <w:p w:rsidR="00E061FB" w:rsidRDefault="00E061FB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AD5749" w:rsidP="00E061FB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Увеличение автомобильных дорог общего пользования местного значения, соответствующих нормативным требованиям </w:t>
            </w:r>
            <w:r>
              <w:rPr>
                <w:sz w:val="28"/>
                <w:szCs w:val="28"/>
              </w:rPr>
              <w:t>–</w:t>
            </w:r>
            <w:r w:rsidRPr="00AD5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  <w:p w:rsidR="00AD5749" w:rsidRDefault="00AD5749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3229">
              <w:rPr>
                <w:sz w:val="28"/>
                <w:szCs w:val="28"/>
              </w:rPr>
              <w:t>2</w:t>
            </w:r>
            <w:r w:rsidR="00744CFC">
              <w:rPr>
                <w:sz w:val="28"/>
                <w:szCs w:val="28"/>
              </w:rPr>
              <w:t>1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AE4517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Елизовского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Территория поселения граничит</w:t>
      </w:r>
      <w:r w:rsidR="00AE4517">
        <w:rPr>
          <w:sz w:val="28"/>
          <w:szCs w:val="28"/>
        </w:rPr>
        <w:t xml:space="preserve"> </w:t>
      </w:r>
      <w:r w:rsidR="00EF4496">
        <w:rPr>
          <w:sz w:val="28"/>
          <w:szCs w:val="28"/>
        </w:rPr>
        <w:t xml:space="preserve">с </w:t>
      </w:r>
      <w:proofErr w:type="gramStart"/>
      <w:r w:rsidRPr="009E452D">
        <w:rPr>
          <w:sz w:val="28"/>
          <w:szCs w:val="28"/>
        </w:rPr>
        <w:t>Петропавловск-Камчатским</w:t>
      </w:r>
      <w:proofErr w:type="gramEnd"/>
      <w:r w:rsidR="00AE4517">
        <w:rPr>
          <w:sz w:val="28"/>
          <w:szCs w:val="28"/>
        </w:rPr>
        <w:t xml:space="preserve"> городским округом</w:t>
      </w:r>
      <w:r w:rsidRPr="009E452D">
        <w:rPr>
          <w:sz w:val="28"/>
          <w:szCs w:val="28"/>
        </w:rPr>
        <w:t xml:space="preserve">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Елизовского муниципального района. 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Пионерское сельское поселение одно из административных, агропромышленных и культурных муниципальных образований Камчатского края, состоит из трех населенных пунктов. </w:t>
      </w:r>
      <w:r w:rsidRPr="009E452D">
        <w:rPr>
          <w:sz w:val="28"/>
          <w:szCs w:val="28"/>
        </w:rPr>
        <w:t>В состав поселения входит три населенных пункта: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Светлый и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Крутобереговый.</w:t>
      </w:r>
      <w:r>
        <w:rPr>
          <w:sz w:val="28"/>
          <w:szCs w:val="28"/>
        </w:rPr>
        <w:t xml:space="preserve"> </w:t>
      </w:r>
      <w:r w:rsidRPr="00E438BD">
        <w:rPr>
          <w:sz w:val="28"/>
          <w:szCs w:val="28"/>
          <w:lang w:eastAsia="ru-RU"/>
        </w:rPr>
        <w:t xml:space="preserve">Пионерское сельское поселение как территория имеет четкие границы, и составляют административное целое. Здесь имеется разветвленная и в тоже время цельная  производственная, транспортная и социальная инфраструктура. </w:t>
      </w:r>
    </w:p>
    <w:p w:rsid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Население по состоянию на 01.01.2017 года составляет 4011 человек.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Интенсивность движения по дорогам Пионерского сельского  поселения высокая и ежегодно возрастает. Степень износа автомобильных дорог общего пользования свыше 80%.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Дорожная система Пионерского сельского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Неустойчивость погоды, обильные продолжительные осадки муссонного характера, резкие перепады температур способствуют разрушению дорожного покрытия</w:t>
      </w:r>
      <w:r>
        <w:rPr>
          <w:sz w:val="28"/>
          <w:szCs w:val="28"/>
          <w:lang w:eastAsia="ru-RU"/>
        </w:rPr>
        <w:t>.</w:t>
      </w:r>
      <w:r w:rsidRPr="00E438BD">
        <w:rPr>
          <w:sz w:val="28"/>
          <w:szCs w:val="28"/>
          <w:lang w:eastAsia="ru-RU"/>
        </w:rPr>
        <w:t xml:space="preserve">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К наиболее актуальным проблемам дорожной системы относятся: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</w:t>
      </w:r>
      <w:r w:rsidRPr="00E438BD">
        <w:rPr>
          <w:sz w:val="28"/>
          <w:szCs w:val="28"/>
          <w:lang w:eastAsia="ru-RU"/>
        </w:rPr>
        <w:t>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</w:t>
      </w:r>
      <w:r w:rsidRPr="00E438BD">
        <w:rPr>
          <w:sz w:val="28"/>
          <w:szCs w:val="28"/>
          <w:lang w:eastAsia="ru-RU"/>
        </w:rPr>
        <w:t>ысокая степень изношенности автомобильных дорог общего пользования,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</w:t>
      </w:r>
      <w:r w:rsidRPr="00E438BD">
        <w:rPr>
          <w:sz w:val="28"/>
          <w:szCs w:val="28"/>
          <w:lang w:eastAsia="ru-RU"/>
        </w:rPr>
        <w:t>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увеличение последующих расходов на их восстановление.</w:t>
      </w:r>
    </w:p>
    <w:p w:rsidR="00E438BD" w:rsidRPr="00E438BD" w:rsidRDefault="00677736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</w:t>
      </w:r>
      <w:r w:rsidR="00E438BD" w:rsidRPr="00E438BD">
        <w:rPr>
          <w:sz w:val="28"/>
          <w:szCs w:val="28"/>
          <w:lang w:eastAsia="ru-RU"/>
        </w:rPr>
        <w:t xml:space="preserve"> Программы позволит планомерно решать накопленные проблемы в дорожном хозяйстве.</w:t>
      </w:r>
    </w:p>
    <w:p w:rsidR="00E438BD" w:rsidRDefault="00E438BD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lastRenderedPageBreak/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814BC">
        <w:rPr>
          <w:sz w:val="28"/>
          <w:szCs w:val="28"/>
        </w:rPr>
        <w:t>р</w:t>
      </w:r>
      <w:r w:rsidR="00A814BC" w:rsidRPr="00A814BC">
        <w:rPr>
          <w:sz w:val="28"/>
          <w:szCs w:val="28"/>
        </w:rPr>
        <w:t>азвитие современной и эффективной транспортной инфраструктуры;</w:t>
      </w:r>
      <w:r w:rsidR="00A814BC">
        <w:rPr>
          <w:sz w:val="28"/>
          <w:szCs w:val="28"/>
        </w:rPr>
        <w:t xml:space="preserve"> п</w:t>
      </w:r>
      <w:r w:rsidR="00A814BC" w:rsidRPr="00A814BC">
        <w:rPr>
          <w:sz w:val="28"/>
          <w:szCs w:val="28"/>
        </w:rPr>
        <w:t>овышение доступности автотранспортных услуг для населения Пионерского сельского поселения.</w:t>
      </w:r>
    </w:p>
    <w:p w:rsidR="00A814BC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</w:p>
    <w:p w:rsidR="00A814BC" w:rsidRPr="00A814BC" w:rsidRDefault="00A814BC" w:rsidP="00A814BC">
      <w:pPr>
        <w:pStyle w:val="afe"/>
        <w:numPr>
          <w:ilvl w:val="0"/>
          <w:numId w:val="32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Обеспечение соответствия автомобильных дорог общего пользования нормативным требованиям;</w:t>
      </w:r>
    </w:p>
    <w:p w:rsidR="003377F0" w:rsidRDefault="00A814BC" w:rsidP="00A814BC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A814BC">
        <w:rPr>
          <w:sz w:val="28"/>
          <w:szCs w:val="28"/>
          <w:lang w:eastAsia="ru-RU"/>
        </w:rPr>
        <w:t>2. Формирование единой дорожной сети круглогодичной доступности для населения.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133229">
        <w:rPr>
          <w:sz w:val="28"/>
          <w:szCs w:val="28"/>
          <w:lang w:eastAsia="ru-RU"/>
        </w:rPr>
        <w:t>2</w:t>
      </w:r>
      <w:r w:rsidR="00744CFC">
        <w:rPr>
          <w:sz w:val="28"/>
          <w:szCs w:val="28"/>
          <w:lang w:eastAsia="ru-RU"/>
        </w:rPr>
        <w:t>1</w:t>
      </w:r>
      <w:r w:rsidR="00133229">
        <w:rPr>
          <w:sz w:val="28"/>
          <w:szCs w:val="28"/>
          <w:lang w:eastAsia="ru-RU"/>
        </w:rPr>
        <w:t xml:space="preserve"> </w:t>
      </w:r>
      <w:r w:rsidR="00D812A1" w:rsidRPr="00D812A1">
        <w:rPr>
          <w:sz w:val="28"/>
          <w:szCs w:val="28"/>
          <w:lang w:eastAsia="ru-RU"/>
        </w:rPr>
        <w:t>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744CFC" w:rsidRPr="00744CFC" w:rsidRDefault="00744CFC" w:rsidP="00744CFC">
      <w:pPr>
        <w:suppressAutoHyphens w:val="0"/>
        <w:ind w:right="-143" w:firstLine="708"/>
        <w:jc w:val="both"/>
        <w:rPr>
          <w:sz w:val="28"/>
          <w:szCs w:val="28"/>
        </w:rPr>
      </w:pPr>
      <w:r w:rsidRPr="00744CFC">
        <w:rPr>
          <w:sz w:val="28"/>
          <w:szCs w:val="28"/>
        </w:rPr>
        <w:t>Основным мероприятием Программы является строительство дорожной инфраструктуры 1-ой очереди Жилого района в Пионерском сельском поселении (проектные работы).</w:t>
      </w:r>
    </w:p>
    <w:p w:rsidR="009A246B" w:rsidRDefault="00744CFC" w:rsidP="00744CFC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44CFC">
        <w:rPr>
          <w:sz w:val="28"/>
          <w:szCs w:val="28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D00C2" w:rsidRDefault="009D00C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744CFC" w:rsidRPr="00744CFC">
        <w:rPr>
          <w:sz w:val="28"/>
          <w:szCs w:val="28"/>
          <w:lang w:eastAsia="ru-RU"/>
        </w:rPr>
        <w:t>Результатом исполнения мероприятия станут проектные работы на строительство дорожной инфраструктуры 1-ой очереди Жилого района в Пионерском сельском поселении.</w:t>
      </w:r>
    </w:p>
    <w:p w:rsidR="00DF31EE" w:rsidRDefault="00764EC7" w:rsidP="00DF31EE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.2. </w:t>
      </w:r>
      <w:r w:rsidR="00DF31EE" w:rsidRPr="00DF31EE">
        <w:rPr>
          <w:sz w:val="28"/>
          <w:szCs w:val="28"/>
          <w:lang w:eastAsia="ru-RU"/>
        </w:rPr>
        <w:t xml:space="preserve">Основным параметром и показателем эффективности реализации мероприятий Программы является </w:t>
      </w:r>
      <w:r w:rsidR="00A814BC">
        <w:rPr>
          <w:sz w:val="28"/>
          <w:szCs w:val="28"/>
          <w:lang w:eastAsia="ru-RU"/>
        </w:rPr>
        <w:t>у</w:t>
      </w:r>
      <w:r w:rsidR="00A814BC" w:rsidRPr="00A814BC">
        <w:rPr>
          <w:sz w:val="28"/>
          <w:szCs w:val="28"/>
          <w:lang w:eastAsia="ru-RU"/>
        </w:rPr>
        <w:t>величение автомобильных дорог общего пользования местного значения, соответствую</w:t>
      </w:r>
      <w:r w:rsidR="00A814BC">
        <w:rPr>
          <w:sz w:val="28"/>
          <w:szCs w:val="28"/>
          <w:lang w:eastAsia="ru-RU"/>
        </w:rPr>
        <w:t>щих нормативным требованиям</w:t>
      </w:r>
      <w:r w:rsidR="00DF31EE" w:rsidRPr="00DF31EE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764F2D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4B724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color w:val="000000"/>
                <w:lang w:eastAsia="ru-RU"/>
              </w:rPr>
              <w:t>2</w:t>
            </w:r>
            <w:r w:rsidR="004B724F">
              <w:rPr>
                <w:color w:val="000000"/>
                <w:lang w:eastAsia="ru-RU"/>
              </w:rPr>
              <w:t>1</w:t>
            </w:r>
            <w:r w:rsidR="00AD5749" w:rsidRPr="00AD5749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764F2D" w:rsidRPr="001F1126" w:rsidTr="00764F2D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2D" w:rsidRDefault="00764F2D" w:rsidP="00531E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64F2D" w:rsidRPr="001F1126" w:rsidRDefault="00764F2D" w:rsidP="004B7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AD5749">
              <w:rPr>
                <w:b/>
                <w:bCs/>
                <w:color w:val="000000"/>
                <w:lang w:eastAsia="ru-RU"/>
              </w:rPr>
              <w:t>Развитие транспортной системы Пионерского сельского поселения на 20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="004B724F">
              <w:rPr>
                <w:b/>
                <w:bCs/>
                <w:color w:val="000000"/>
                <w:lang w:eastAsia="ru-RU"/>
              </w:rPr>
              <w:t>1</w:t>
            </w:r>
            <w:r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64F2D" w:rsidRPr="001F1126" w:rsidTr="00764F2D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64F2D" w:rsidRPr="001F1126" w:rsidTr="00764F2D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Pr="00AC29EA" w:rsidRDefault="00764F2D" w:rsidP="00531E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Pr="001F1126" w:rsidRDefault="00764F2D" w:rsidP="00531EC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64F2D" w:rsidRPr="001F1126" w:rsidTr="00764F2D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2D" w:rsidRPr="003D11A9" w:rsidRDefault="00764F2D" w:rsidP="00531EC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2D" w:rsidRDefault="00764F2D" w:rsidP="00531ECD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>
              <w:rPr>
                <w:bCs/>
                <w:color w:val="000000"/>
                <w:lang w:eastAsia="ru-RU"/>
              </w:rPr>
              <w:t>2</w:t>
            </w:r>
            <w:r w:rsidR="004B724F">
              <w:rPr>
                <w:bCs/>
                <w:color w:val="000000"/>
                <w:lang w:eastAsia="ru-RU"/>
              </w:rPr>
              <w:t>1</w:t>
            </w:r>
            <w:r w:rsidRPr="00AD5749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64F2D" w:rsidRPr="003D11A9" w:rsidRDefault="00764F2D" w:rsidP="00531ECD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4B5443" w:rsidRDefault="004B724F" w:rsidP="00531E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16 093 878</w:t>
            </w:r>
            <w:r w:rsidR="00764F2D" w:rsidRPr="00E9365C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AC7996" w:rsidRDefault="00764F2D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64F2D" w:rsidRPr="001F1126" w:rsidTr="00764F2D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14514D" w:rsidRDefault="00764F2D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14514D" w:rsidRDefault="00764F2D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F2D" w:rsidRPr="001F1126" w:rsidTr="00764F2D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15 772 000</w:t>
            </w:r>
            <w:r w:rsidR="00764F2D" w:rsidRPr="00A814BC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14514D" w:rsidRDefault="00764F2D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F2D" w:rsidRPr="001F1126" w:rsidTr="00764F2D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2D" w:rsidRPr="001F1126" w:rsidRDefault="00764F2D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011574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321 878</w:t>
            </w:r>
            <w:r w:rsidR="00764F2D" w:rsidRPr="0001157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2D" w:rsidRPr="0014514D" w:rsidRDefault="00764F2D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724F" w:rsidRPr="001F1126" w:rsidTr="00764F2D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F" w:rsidRPr="00E57DA0" w:rsidRDefault="004B724F" w:rsidP="00531EC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4F" w:rsidRPr="001F1126" w:rsidRDefault="004B724F" w:rsidP="00531ECD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A814BC">
              <w:rPr>
                <w:color w:val="000000"/>
                <w:lang w:eastAsia="ru-RU"/>
              </w:rPr>
              <w:t xml:space="preserve">Строительство </w:t>
            </w:r>
            <w:r>
              <w:rPr>
                <w:color w:val="000000"/>
                <w:lang w:eastAsia="ru-RU"/>
              </w:rPr>
              <w:t xml:space="preserve">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</w:r>
            <w:proofErr w:type="spellStart"/>
            <w:r>
              <w:rPr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lang w:eastAsia="ru-RU"/>
              </w:rPr>
              <w:t xml:space="preserve"> из краевого бюджета» Строительство дорожной инфраструктуры 1-ой очереди Жилого района </w:t>
            </w:r>
            <w:r w:rsidRPr="00A814BC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>
              <w:rPr>
                <w:color w:val="000000"/>
                <w:lang w:eastAsia="ru-RU"/>
              </w:rPr>
              <w:t xml:space="preserve"> (проектные работы)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4B724F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724F">
              <w:rPr>
                <w:bCs/>
                <w:color w:val="000000"/>
                <w:sz w:val="22"/>
                <w:szCs w:val="22"/>
              </w:rPr>
              <w:t>16 093 878,00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AC7996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4B724F" w:rsidRPr="001F1126" w:rsidTr="00764F2D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724F" w:rsidRPr="001F1126" w:rsidTr="00764F2D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15 772 000</w:t>
            </w:r>
            <w:r w:rsidRPr="00A814BC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724F" w:rsidRPr="001F1126" w:rsidTr="00764F2D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F" w:rsidRPr="001F1126" w:rsidRDefault="004B724F" w:rsidP="00531EC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F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4B724F" w:rsidRPr="001F1126" w:rsidRDefault="004B724F" w:rsidP="00531E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011574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321 878</w:t>
            </w:r>
            <w:r w:rsidRPr="0001157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4F" w:rsidRPr="0014514D" w:rsidRDefault="004B724F" w:rsidP="00531EC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64F2D" w:rsidRPr="001F1126" w:rsidRDefault="00764F2D" w:rsidP="00764F2D">
      <w:pPr>
        <w:ind w:left="-851"/>
        <w:jc w:val="center"/>
        <w:rPr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F05E88" w:rsidRPr="009D00C2" w:rsidRDefault="009D00C2" w:rsidP="009D00C2">
      <w:pPr>
        <w:jc w:val="right"/>
        <w:rPr>
          <w:sz w:val="20"/>
          <w:szCs w:val="20"/>
          <w:lang w:eastAsia="ru-RU"/>
        </w:rPr>
      </w:pPr>
      <w:r w:rsidRPr="009D00C2">
        <w:rPr>
          <w:sz w:val="20"/>
          <w:szCs w:val="20"/>
          <w:lang w:eastAsia="ru-RU"/>
        </w:rPr>
        <w:t>1</w:t>
      </w:r>
      <w:r w:rsidR="00E834D3">
        <w:rPr>
          <w:sz w:val="20"/>
          <w:szCs w:val="20"/>
          <w:lang w:eastAsia="ru-RU"/>
        </w:rPr>
        <w:t>0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B724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color w:val="000000"/>
                <w:lang w:eastAsia="ru-RU"/>
              </w:rPr>
              <w:t>2</w:t>
            </w:r>
            <w:r w:rsidR="004B724F">
              <w:rPr>
                <w:color w:val="000000"/>
                <w:lang w:eastAsia="ru-RU"/>
              </w:rPr>
              <w:t>1</w:t>
            </w:r>
            <w:r w:rsidR="00AD5749" w:rsidRPr="00AD5749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4B7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b/>
                <w:bCs/>
                <w:color w:val="000000"/>
                <w:lang w:eastAsia="ru-RU"/>
              </w:rPr>
              <w:t>2</w:t>
            </w:r>
            <w:r w:rsidR="004B724F">
              <w:rPr>
                <w:b/>
                <w:bCs/>
                <w:color w:val="000000"/>
                <w:lang w:eastAsia="ru-RU"/>
              </w:rPr>
              <w:t>1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133229">
              <w:rPr>
                <w:b/>
                <w:color w:val="000000"/>
                <w:lang w:eastAsia="ru-RU"/>
              </w:rPr>
              <w:t>2</w:t>
            </w:r>
            <w:r w:rsidR="004B724F">
              <w:rPr>
                <w:b/>
                <w:color w:val="000000"/>
                <w:lang w:eastAsia="ru-RU"/>
              </w:rPr>
              <w:t>1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764F2D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64F2D">
              <w:rPr>
                <w:color w:val="000000"/>
                <w:lang w:eastAsia="ru-RU"/>
              </w:rPr>
              <w:t>Количество выполненных  проектных работ по объекту: «Строительство дорожной инфраструктуры 1-ой очереди Жилого района в Пионерском сельском поселении»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E834D3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41" w:rsidRDefault="00775F41">
      <w:r>
        <w:separator/>
      </w:r>
    </w:p>
  </w:endnote>
  <w:endnote w:type="continuationSeparator" w:id="0">
    <w:p w:rsidR="00775F41" w:rsidRDefault="0077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0F">
          <w:rPr>
            <w:noProof/>
          </w:rPr>
          <w:t>11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41" w:rsidRDefault="00775F41">
      <w:r>
        <w:separator/>
      </w:r>
    </w:p>
  </w:footnote>
  <w:footnote w:type="continuationSeparator" w:id="0">
    <w:p w:rsidR="00775F41" w:rsidRDefault="0077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6844CE6"/>
    <w:multiLevelType w:val="hybridMultilevel"/>
    <w:tmpl w:val="B562E55A"/>
    <w:lvl w:ilvl="0" w:tplc="62F00E9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24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6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0"/>
  </w:num>
  <w:num w:numId="28">
    <w:abstractNumId w:val="16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4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5E0F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658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229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26C13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5993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24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4CFC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4F2D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5F41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34E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F33B-0394-4430-A863-5D68C31F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104</cp:revision>
  <cp:lastPrinted>2020-11-02T23:04:00Z</cp:lastPrinted>
  <dcterms:created xsi:type="dcterms:W3CDTF">2017-10-30T23:06:00Z</dcterms:created>
  <dcterms:modified xsi:type="dcterms:W3CDTF">2020-11-02T23:10:00Z</dcterms:modified>
</cp:coreProperties>
</file>