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1332" w14:textId="60DC76DF"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14:paraId="6FF63051" w14:textId="014F3B05"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14:paraId="67B12B67" w14:textId="089EDC44"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0E44AED2"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632135" w14:textId="783341C9"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0D15CDB7"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14:paraId="6C386B6C" w14:textId="77777777"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B7E0CA3" w14:textId="6E4574AF"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14:paraId="3DB7B38A" w14:textId="39326AF5"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В частности, </w:t>
      </w:r>
      <w:r w:rsidR="00C41266"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отсутствие такой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 отметки в ЕГРН </w:t>
      </w:r>
      <w:r w:rsidR="0004088B" w:rsidRPr="001C42E9">
        <w:rPr>
          <w:rStyle w:val="b"/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 xml:space="preserve">не </w:t>
      </w:r>
      <w:r w:rsidR="00C41266"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, если </w:t>
      </w:r>
      <w:r w:rsidR="00C62259"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сертификат 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электронн</w:t>
      </w:r>
      <w:r w:rsidR="00C62259"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ой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 подпис</w:t>
      </w:r>
      <w:r w:rsidR="00C62259"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и</w:t>
      </w:r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>Росреестром</w:t>
      </w:r>
      <w:proofErr w:type="spellEnd"/>
      <w:r w:rsidRPr="001C42E9">
        <w:rPr>
          <w:rStyle w:val="b"/>
          <w:rFonts w:ascii="Times New Roman" w:hAnsi="Times New Roman" w:cs="Times New Roman"/>
          <w:bCs/>
          <w:sz w:val="28"/>
          <w:szCs w:val="28"/>
          <w:highlight w:val="yellow"/>
        </w:rPr>
        <w:t xml:space="preserve"> в электронном виде.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6F854E" w14:textId="77777777"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50D4244E" w14:textId="3784ADE6" w:rsidR="00C72AD3" w:rsidRPr="00356BA3" w:rsidRDefault="00356BA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C72AD3" w:rsidRPr="00356BA3" w:rsidSect="00E949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949FD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Kseniya.A.Afanasieva</cp:lastModifiedBy>
  <cp:revision>4</cp:revision>
  <cp:lastPrinted>2019-11-01T00:56:00Z</cp:lastPrinted>
  <dcterms:created xsi:type="dcterms:W3CDTF">2019-10-30T12:08:00Z</dcterms:created>
  <dcterms:modified xsi:type="dcterms:W3CDTF">2019-11-01T00:56:00Z</dcterms:modified>
</cp:coreProperties>
</file>