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20" w:rsidRPr="00554320" w:rsidRDefault="00554320" w:rsidP="00554320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записка</w:t>
      </w:r>
    </w:p>
    <w:p w:rsidR="00554320" w:rsidRPr="00554320" w:rsidRDefault="00BD738B" w:rsidP="00554320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результатам </w:t>
      </w:r>
      <w:r w:rsidR="00554320" w:rsidRPr="00554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социологического опроса</w:t>
      </w:r>
      <w:r w:rsidR="00554320" w:rsidRPr="0055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4320" w:rsidRPr="00554320" w:rsidRDefault="00BD738B" w:rsidP="00554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изучению </w:t>
      </w:r>
      <w:r w:rsidR="00554320" w:rsidRPr="00554320">
        <w:rPr>
          <w:rFonts w:ascii="Times New Roman" w:hAnsi="Times New Roman"/>
          <w:b/>
          <w:sz w:val="28"/>
          <w:szCs w:val="28"/>
        </w:rPr>
        <w:t xml:space="preserve">общественного  мнения о деятельности органов власти </w:t>
      </w:r>
    </w:p>
    <w:p w:rsidR="00554320" w:rsidRPr="00554320" w:rsidRDefault="00554320" w:rsidP="005543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320">
        <w:rPr>
          <w:rFonts w:ascii="Times New Roman" w:hAnsi="Times New Roman"/>
          <w:b/>
          <w:sz w:val="28"/>
          <w:szCs w:val="28"/>
        </w:rPr>
        <w:t>по обеспечению безопасности граждан Камчатского края</w:t>
      </w:r>
    </w:p>
    <w:bookmarkEnd w:id="0"/>
    <w:p w:rsidR="00554320" w:rsidRPr="00554320" w:rsidRDefault="00554320" w:rsidP="00554320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320" w:rsidRPr="00554320" w:rsidRDefault="00554320" w:rsidP="00554320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проблемы исследования</w:t>
      </w:r>
      <w:r w:rsidRPr="0055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4320" w:rsidRPr="00554320" w:rsidRDefault="00554320" w:rsidP="00554320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54320" w:rsidRDefault="00715031" w:rsidP="005543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безопасности </w:t>
      </w:r>
      <w:r w:rsidR="007753A5" w:rsidRPr="0077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одна из </w:t>
      </w:r>
      <w:r w:rsidR="000A3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r w:rsidR="007753A5" w:rsidRPr="0077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современного общества</w:t>
      </w:r>
      <w:r w:rsidR="00554320" w:rsidRPr="00554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53A5" w:rsidRPr="0077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теории </w:t>
      </w:r>
      <w:r w:rsidR="007753A5" w:rsidRPr="0077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американского психолога </w:t>
      </w:r>
      <w:hyperlink r:id="rId9" w:tooltip="Маслоу, Абрахам Харольд" w:history="1">
        <w:r w:rsidR="007753A5" w:rsidRPr="007753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 Маслоу</w:t>
        </w:r>
      </w:hyperlink>
      <w:r w:rsidR="0042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безопасност</w:t>
      </w:r>
      <w:r w:rsidR="008C77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базовых потребностей человека (после физиологических потребностей)</w:t>
      </w:r>
      <w:r w:rsid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удовлетворения которой невозможно дальнейшее развитие личности.</w:t>
      </w:r>
    </w:p>
    <w:p w:rsidR="00C91D19" w:rsidRDefault="00825F67" w:rsidP="002544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опроса Фонда «Общественное мнение» </w:t>
      </w:r>
      <w:r w:rsidR="007866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  <w:r w:rsidR="007866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занимает 2-е место (46 %)</w:t>
      </w:r>
      <w:r w:rsidR="00E803E0" w:rsidRPr="00E8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семьи среди ценностей </w:t>
      </w:r>
      <w:r w:rsidR="00CB31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России</w:t>
      </w:r>
      <w:r w:rsidR="00E80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опроса Всероссийского центра изучения общественного мнения </w:t>
      </w:r>
      <w:r w:rsidR="007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(2014 г.) </w:t>
      </w:r>
      <w:r w:rsidR="00254465" w:rsidRPr="00254465">
        <w:rPr>
          <w:rFonts w:ascii="Times New Roman" w:hAnsi="Times New Roman" w:cs="Times New Roman"/>
          <w:bCs/>
          <w:sz w:val="28"/>
          <w:szCs w:val="28"/>
        </w:rPr>
        <w:t>д</w:t>
      </w:r>
      <w:r w:rsidR="00254465">
        <w:rPr>
          <w:rFonts w:ascii="Times New Roman" w:hAnsi="Times New Roman" w:cs="Times New Roman"/>
          <w:bCs/>
          <w:sz w:val="28"/>
          <w:szCs w:val="28"/>
        </w:rPr>
        <w:t>ля россиян к</w:t>
      </w:r>
      <w:r w:rsidR="00254465" w:rsidRPr="00254465">
        <w:rPr>
          <w:rFonts w:ascii="Times New Roman" w:hAnsi="Times New Roman" w:cs="Times New Roman"/>
          <w:bCs/>
          <w:sz w:val="28"/>
          <w:szCs w:val="28"/>
        </w:rPr>
        <w:t>райне важной стороной жизни</w:t>
      </w:r>
      <w:r w:rsidR="00112516">
        <w:rPr>
          <w:rFonts w:ascii="Times New Roman" w:hAnsi="Times New Roman" w:cs="Times New Roman"/>
          <w:bCs/>
          <w:sz w:val="28"/>
          <w:szCs w:val="28"/>
        </w:rPr>
        <w:t xml:space="preserve"> (1 место)</w:t>
      </w:r>
      <w:r w:rsidR="00254465" w:rsidRPr="00254465">
        <w:rPr>
          <w:rFonts w:ascii="Times New Roman" w:hAnsi="Times New Roman" w:cs="Times New Roman"/>
          <w:bCs/>
          <w:sz w:val="28"/>
          <w:szCs w:val="28"/>
        </w:rPr>
        <w:t xml:space="preserve"> остается безопасность (личная и членов семьи) </w:t>
      </w:r>
      <w:r w:rsidR="00254465" w:rsidRPr="00254465">
        <w:rPr>
          <w:rFonts w:ascii="Times New Roman" w:hAnsi="Times New Roman" w:cs="Times New Roman"/>
          <w:sz w:val="28"/>
          <w:szCs w:val="28"/>
        </w:rPr>
        <w:t xml:space="preserve">– значение соответствующего </w:t>
      </w:r>
      <w:r w:rsidR="00254465" w:rsidRPr="00254465">
        <w:rPr>
          <w:rFonts w:ascii="Times New Roman" w:hAnsi="Times New Roman" w:cs="Times New Roman"/>
          <w:bCs/>
          <w:sz w:val="28"/>
          <w:szCs w:val="28"/>
        </w:rPr>
        <w:t>индекса</w:t>
      </w:r>
      <w:r w:rsidR="00254465" w:rsidRPr="0025446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54465" w:rsidRPr="00254465">
        <w:rPr>
          <w:rFonts w:ascii="Times New Roman" w:hAnsi="Times New Roman" w:cs="Times New Roman"/>
          <w:bCs/>
          <w:sz w:val="28"/>
          <w:szCs w:val="28"/>
        </w:rPr>
        <w:t>97 пунктов</w:t>
      </w:r>
      <w:r w:rsidR="00254465" w:rsidRPr="00254465">
        <w:rPr>
          <w:rFonts w:ascii="Times New Roman" w:hAnsi="Times New Roman" w:cs="Times New Roman"/>
          <w:sz w:val="28"/>
          <w:szCs w:val="28"/>
        </w:rPr>
        <w:t xml:space="preserve"> </w:t>
      </w:r>
      <w:r w:rsidR="00254465" w:rsidRPr="00254465">
        <w:rPr>
          <w:rFonts w:ascii="Times New Roman" w:hAnsi="Times New Roman" w:cs="Times New Roman"/>
          <w:bCs/>
          <w:sz w:val="28"/>
          <w:szCs w:val="28"/>
        </w:rPr>
        <w:t xml:space="preserve">(в диапазоне от </w:t>
      </w:r>
      <w:r w:rsidR="0025446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54465" w:rsidRPr="00254465">
        <w:rPr>
          <w:rFonts w:ascii="Times New Roman" w:hAnsi="Times New Roman" w:cs="Times New Roman"/>
          <w:bCs/>
          <w:sz w:val="28"/>
          <w:szCs w:val="28"/>
        </w:rPr>
        <w:t>0 до 100)</w:t>
      </w:r>
      <w:r w:rsidR="00254465" w:rsidRPr="00254465">
        <w:rPr>
          <w:rFonts w:ascii="Times New Roman" w:hAnsi="Times New Roman" w:cs="Times New Roman"/>
          <w:sz w:val="28"/>
          <w:szCs w:val="28"/>
        </w:rPr>
        <w:t>.</w:t>
      </w:r>
    </w:p>
    <w:p w:rsidR="00554320" w:rsidRPr="00554320" w:rsidRDefault="00554320" w:rsidP="005543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Правительственной комиссии по профилактике правонарушений от </w:t>
      </w:r>
      <w:r w:rsidR="00744D26" w:rsidRPr="00A56D12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28.12.2011 г. принято решение об организации проведения социологических опросов населения с целью более углубленного изучения мнения о деятельности региональных органов исполнительной власти и органов местного самоуправления по обеспечению личной и имущественной безопасности граждан, а также выяснения наиболее актуальных проблемных вопросов в указанной сфере и принятия безотлагательных мер по их разрешению</w:t>
      </w:r>
      <w:r w:rsidR="00DB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РФ</w:t>
      </w:r>
      <w:r w:rsidRPr="00554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D98" w:rsidRPr="0097285D" w:rsidRDefault="00554320" w:rsidP="00F740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Социологическое и</w:t>
      </w:r>
      <w:r w:rsidR="00F74095" w:rsidRPr="00A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сследование, направленное на </w:t>
      </w:r>
      <w:r w:rsidR="00BD738B" w:rsidRPr="00A56D12">
        <w:rPr>
          <w:rFonts w:ascii="Times New Roman" w:hAnsi="Times New Roman"/>
          <w:sz w:val="28"/>
          <w:szCs w:val="28"/>
        </w:rPr>
        <w:t>изучени</w:t>
      </w:r>
      <w:r w:rsidR="00F74095" w:rsidRPr="00A56D12">
        <w:rPr>
          <w:rFonts w:ascii="Times New Roman" w:hAnsi="Times New Roman"/>
          <w:sz w:val="28"/>
          <w:szCs w:val="28"/>
        </w:rPr>
        <w:t>е</w:t>
      </w:r>
      <w:r w:rsidR="00BD738B" w:rsidRPr="00A56D12">
        <w:rPr>
          <w:rFonts w:ascii="Times New Roman" w:hAnsi="Times New Roman"/>
          <w:sz w:val="28"/>
          <w:szCs w:val="28"/>
        </w:rPr>
        <w:t xml:space="preserve"> </w:t>
      </w:r>
      <w:r w:rsidR="00BD738B" w:rsidRPr="00554320">
        <w:rPr>
          <w:rFonts w:ascii="Times New Roman" w:hAnsi="Times New Roman"/>
          <w:sz w:val="28"/>
          <w:szCs w:val="28"/>
        </w:rPr>
        <w:t xml:space="preserve">общественного  мнения о деятельности органов власти </w:t>
      </w:r>
      <w:r w:rsidR="00BD738B" w:rsidRPr="00A56D12">
        <w:rPr>
          <w:rFonts w:ascii="Times New Roman" w:hAnsi="Times New Roman"/>
          <w:sz w:val="28"/>
          <w:szCs w:val="28"/>
        </w:rPr>
        <w:t>по обеспечению безопасности граждан Камчатского края</w:t>
      </w:r>
      <w:r w:rsidR="00566D98" w:rsidRPr="00A56D12">
        <w:rPr>
          <w:rFonts w:ascii="Times New Roman" w:hAnsi="Times New Roman"/>
          <w:sz w:val="28"/>
          <w:szCs w:val="28"/>
        </w:rPr>
        <w:t>,</w:t>
      </w:r>
      <w:r w:rsidR="00F74095" w:rsidRPr="00A56D12">
        <w:rPr>
          <w:rFonts w:ascii="Times New Roman" w:hAnsi="Times New Roman"/>
          <w:sz w:val="28"/>
          <w:szCs w:val="28"/>
        </w:rPr>
        <w:t xml:space="preserve"> </w:t>
      </w:r>
      <w:r w:rsidR="00B06F3B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86602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Агентством по внутренней политике Камчатского края </w:t>
      </w:r>
      <w:r w:rsidR="00B06F3B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</w:t>
      </w:r>
      <w:r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74095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Опросом охвачены жители юга Камчатского кра</w:t>
      </w:r>
      <w:r w:rsidR="00566D98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(г. Петропавловск-Камчатский, </w:t>
      </w:r>
      <w:r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Вилючинск и Елизовский район)</w:t>
      </w:r>
      <w:r w:rsidR="00566D98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53D" w:rsidRPr="00971BD1" w:rsidRDefault="00566D98" w:rsidP="00971B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проведено методом уличного</w:t>
      </w:r>
      <w:r w:rsidR="00554320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4320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(интервьюировани</w:t>
      </w:r>
      <w:r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4320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54320" w:rsidRPr="009728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54320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Опрошено население муниципальных образований по месту жительства и в местах массового скопления людей  методом  непосредственного  сбора первичной информации (интервью). Выборка осуществлялась многоступенчатым</w:t>
      </w:r>
      <w:r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отбором. Ф</w:t>
      </w:r>
      <w:r w:rsidR="00554320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актический объем выборочной совокупности составил </w:t>
      </w:r>
      <w:r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54320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чел. Результаты выборочного обследования относятся к группе повышенной надежности, отвечают требованиям статистической репрезентативности.</w:t>
      </w:r>
      <w:r w:rsidR="00554320" w:rsidRPr="009728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54320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включает</w:t>
      </w:r>
      <w:r w:rsidR="006D1D0D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4320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3B3D87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вопросы </w:t>
      </w:r>
      <w:r w:rsidR="00037A32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социально-демографической структуры </w:t>
      </w:r>
      <w:r w:rsidR="003B3D87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2)</w:t>
      </w:r>
      <w:r w:rsidR="00554320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320" w:rsidRPr="0055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073F3" w:rsidRDefault="006073F3" w:rsidP="00FC728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C1D" w:rsidRPr="00991C1D" w:rsidRDefault="00991C1D" w:rsidP="00FC728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исследования</w:t>
      </w:r>
    </w:p>
    <w:p w:rsidR="00991C1D" w:rsidRPr="00991C1D" w:rsidRDefault="00991C1D" w:rsidP="00991C1D">
      <w:pPr>
        <w:tabs>
          <w:tab w:val="left" w:pos="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1C1D" w:rsidRPr="00991C1D" w:rsidRDefault="00991C1D" w:rsidP="00991C1D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опроса представлены в целом по югу Камчатского края и основаны на показателях, полученных </w:t>
      </w:r>
      <w:r w:rsidR="0097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9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Петропавловск</w:t>
      </w:r>
      <w:r w:rsidR="0097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1C1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</w:t>
      </w:r>
      <w:r w:rsidR="00971B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91C1D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г. Вилючинск</w:t>
      </w:r>
      <w:r w:rsidR="0097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Елизовско</w:t>
      </w:r>
      <w:r w:rsidR="00971B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9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7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1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C1D" w:rsidRPr="006D1D0D" w:rsidRDefault="00991C1D" w:rsidP="00991C1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991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37A32" w:rsidRDefault="00037A32" w:rsidP="00037A32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1C1D" w:rsidRPr="00991C1D" w:rsidRDefault="00991C1D" w:rsidP="00037A32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сведения о респондентах</w:t>
      </w:r>
    </w:p>
    <w:p w:rsidR="00991C1D" w:rsidRPr="00991C1D" w:rsidRDefault="00991C1D" w:rsidP="00037A3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1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Опросом охвачены жители юга полуострова, всего опрошено</w:t>
      </w:r>
      <w:r w:rsidRPr="00991C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Pr="00991C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99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91C1D" w:rsidRPr="00991C1D" w:rsidRDefault="00991C1D" w:rsidP="00971B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9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C1D" w:rsidRPr="00DD4000" w:rsidRDefault="00971BD1" w:rsidP="00DD40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  <w:r w:rsidR="00991C1D" w:rsidRPr="00DD4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опрошенных респондентов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1134"/>
        <w:gridCol w:w="1276"/>
      </w:tblGrid>
      <w:tr w:rsidR="00991C1D" w:rsidRPr="00991C1D" w:rsidTr="00971BD1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991C1D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91C1D" w:rsidRPr="00991C1D" w:rsidRDefault="00991C1D" w:rsidP="00991C1D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991C1D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1C1D" w:rsidRPr="00971BD1" w:rsidRDefault="00991C1D" w:rsidP="00971BD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</w:t>
            </w:r>
            <w:r w:rsidR="00971B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991C1D">
            <w:pPr>
              <w:tabs>
                <w:tab w:val="left" w:pos="0"/>
              </w:tabs>
              <w:spacing w:after="0" w:line="24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</w:tr>
      <w:tr w:rsidR="00991C1D" w:rsidRPr="00991C1D" w:rsidTr="00971BD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991C1D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991C1D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991C1D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 респ-ов, </w:t>
            </w:r>
            <w:r w:rsidRPr="00991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991C1D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  <w:p w:rsidR="00991C1D" w:rsidRPr="00991C1D" w:rsidRDefault="00991C1D" w:rsidP="00991C1D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числа опрошенных </w:t>
            </w:r>
          </w:p>
        </w:tc>
      </w:tr>
      <w:tr w:rsidR="00991C1D" w:rsidRPr="00991C1D" w:rsidTr="00971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D635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1D" w:rsidRPr="00991C1D" w:rsidRDefault="00991C1D" w:rsidP="00991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1D" w:rsidRPr="00991C1D" w:rsidRDefault="00991C1D" w:rsidP="0099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1D" w:rsidRPr="00971BD1" w:rsidRDefault="007E4D17" w:rsidP="007E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60,9</w:t>
            </w:r>
          </w:p>
        </w:tc>
      </w:tr>
      <w:tr w:rsidR="00991C1D" w:rsidRPr="00991C1D" w:rsidTr="00971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D635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1D" w:rsidRPr="00991C1D" w:rsidRDefault="00991C1D" w:rsidP="00991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lang w:eastAsia="ru-RU"/>
              </w:rPr>
              <w:t>Елизовский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1D" w:rsidRPr="00991C1D" w:rsidRDefault="00991C1D" w:rsidP="0099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1D" w:rsidRPr="00971BD1" w:rsidRDefault="007E4D17" w:rsidP="0099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26,3</w:t>
            </w:r>
          </w:p>
        </w:tc>
      </w:tr>
      <w:tr w:rsidR="00991C1D" w:rsidRPr="00991C1D" w:rsidTr="00971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D635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1D" w:rsidRPr="00991C1D" w:rsidRDefault="00991C1D" w:rsidP="00991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lang w:eastAsia="ru-RU"/>
              </w:rPr>
              <w:t>Вилючинск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1D" w:rsidRPr="00991C1D" w:rsidRDefault="00991C1D" w:rsidP="0099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1D" w:rsidRPr="00971BD1" w:rsidRDefault="007E4D17" w:rsidP="0099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</w:t>
            </w:r>
          </w:p>
        </w:tc>
      </w:tr>
      <w:tr w:rsidR="00991C1D" w:rsidRPr="00991C1D" w:rsidTr="00971BD1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991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lang w:eastAsia="ru-RU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91C1D" w:rsidRDefault="00991C1D" w:rsidP="0099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1D" w:rsidRPr="00971BD1" w:rsidRDefault="00991C1D" w:rsidP="00991C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971BD1" w:rsidRDefault="00971BD1" w:rsidP="006073F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1D24" w:rsidRDefault="00D635A7" w:rsidP="009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4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населением </w:t>
      </w:r>
      <w:r w:rsidR="00CE00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факторов, создающих угрозу </w:t>
      </w:r>
      <w:r w:rsidRPr="00A34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безопасности</w:t>
      </w:r>
    </w:p>
    <w:p w:rsidR="00A34B44" w:rsidRDefault="00C41D24" w:rsidP="0097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наиболее опасных факторов, создающих угрозу безопасности респондентов и их близких</w:t>
      </w:r>
      <w:r w:rsidR="00C01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опрашиваемыми </w:t>
      </w:r>
      <w:r w:rsidR="0011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выделены: </w:t>
      </w:r>
      <w:r w:rsidR="0011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здоровья, тяжелое заболевание (15,4 %)</w:t>
      </w:r>
      <w:r w:rsidR="00DD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1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(12,8</w:t>
      </w:r>
      <w:r w:rsidR="0011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6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D40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0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наплыв трудовых мигрантов (11,8 </w:t>
      </w:r>
      <w:r w:rsidR="00C01C6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D40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0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1C69" w:rsidRPr="00CE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виток мирового финансового кризиса</w:t>
      </w:r>
      <w:r w:rsidR="006B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(11,6 %)</w:t>
      </w:r>
      <w:r w:rsidR="00DD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6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 безработицы (10,3 %)</w:t>
      </w:r>
      <w:r w:rsidR="00DD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C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низкий доход (10,9 %)</w:t>
      </w:r>
      <w:r w:rsidR="0091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Факторы, </w:t>
      </w:r>
      <w:r w:rsidR="00916265" w:rsidRPr="0091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создающие угрозу </w:t>
      </w:r>
      <w:r w:rsidR="0091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</w:t>
      </w:r>
      <w:r w:rsidR="002B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асности</w:t>
      </w:r>
      <w:r w:rsidR="006A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</w:t>
      </w:r>
      <w:r w:rsidR="006D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дставлены в таблице 2 </w:t>
      </w:r>
      <w:r w:rsidR="0091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рисунке 1.</w:t>
      </w:r>
    </w:p>
    <w:p w:rsidR="00F75011" w:rsidRDefault="00DD4000" w:rsidP="00F75011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011" w:rsidRPr="00DD4000" w:rsidRDefault="00DD4000" w:rsidP="00DD40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</w:t>
      </w:r>
      <w:r w:rsidR="00F75011" w:rsidRPr="00DD40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создающие угрозу безопасности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1134"/>
        <w:gridCol w:w="1276"/>
      </w:tblGrid>
      <w:tr w:rsidR="00374C35" w:rsidRPr="00991C1D" w:rsidTr="00DD4000">
        <w:trPr>
          <w:trHeight w:val="279"/>
        </w:trPr>
        <w:tc>
          <w:tcPr>
            <w:tcW w:w="567" w:type="dxa"/>
            <w:vMerge w:val="restart"/>
            <w:shd w:val="clear" w:color="auto" w:fill="auto"/>
          </w:tcPr>
          <w:p w:rsidR="00374C35" w:rsidRPr="00991C1D" w:rsidRDefault="00374C35" w:rsidP="006D1D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74C35" w:rsidRPr="00991C1D" w:rsidRDefault="00374C35" w:rsidP="006D1D0D">
            <w:pPr>
              <w:tabs>
                <w:tab w:val="left" w:pos="0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374C35" w:rsidRPr="00991C1D" w:rsidRDefault="00374C35" w:rsidP="006D1D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4C35" w:rsidRPr="00991C1D" w:rsidRDefault="00C25403" w:rsidP="006D1D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4C35" w:rsidRPr="00991C1D" w:rsidRDefault="00374C35" w:rsidP="006D1D0D">
            <w:pPr>
              <w:tabs>
                <w:tab w:val="left" w:pos="0"/>
              </w:tabs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</w:tr>
      <w:tr w:rsidR="00374C35" w:rsidRPr="00991C1D" w:rsidTr="00DD4000">
        <w:tc>
          <w:tcPr>
            <w:tcW w:w="567" w:type="dxa"/>
            <w:vMerge/>
            <w:shd w:val="clear" w:color="auto" w:fill="auto"/>
          </w:tcPr>
          <w:p w:rsidR="00374C35" w:rsidRPr="00991C1D" w:rsidRDefault="00374C35" w:rsidP="00D72921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374C35" w:rsidRPr="00991C1D" w:rsidRDefault="00374C35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4C35" w:rsidRPr="00991C1D" w:rsidRDefault="00374C35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 респ-ов, </w:t>
            </w:r>
            <w:r w:rsidRPr="00991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(чел.)</w:t>
            </w:r>
          </w:p>
        </w:tc>
        <w:tc>
          <w:tcPr>
            <w:tcW w:w="1276" w:type="dxa"/>
            <w:shd w:val="clear" w:color="auto" w:fill="auto"/>
          </w:tcPr>
          <w:p w:rsidR="00374C35" w:rsidRPr="00991C1D" w:rsidRDefault="00374C35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  <w:p w:rsidR="00374C35" w:rsidRPr="00991C1D" w:rsidRDefault="00374C35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числа опрошенных </w:t>
            </w:r>
          </w:p>
        </w:tc>
      </w:tr>
      <w:tr w:rsidR="00374C35" w:rsidRPr="00991C1D" w:rsidTr="00DD4000">
        <w:tc>
          <w:tcPr>
            <w:tcW w:w="567" w:type="dxa"/>
            <w:shd w:val="clear" w:color="auto" w:fill="auto"/>
          </w:tcPr>
          <w:p w:rsidR="00374C35" w:rsidRPr="006D1D0D" w:rsidRDefault="00374C35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374C35" w:rsidRPr="006D1D0D" w:rsidRDefault="00374C35" w:rsidP="0037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экстремистских организаций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374C35" w:rsidRPr="00991C1D" w:rsidTr="00DD4000">
        <w:tc>
          <w:tcPr>
            <w:tcW w:w="567" w:type="dxa"/>
            <w:shd w:val="clear" w:color="auto" w:fill="auto"/>
          </w:tcPr>
          <w:p w:rsidR="00374C35" w:rsidRPr="006D1D0D" w:rsidRDefault="00374C35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374C35" w:rsidRPr="006D1D0D" w:rsidRDefault="00374C35" w:rsidP="0037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Терроризм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</w:t>
            </w:r>
          </w:p>
        </w:tc>
      </w:tr>
      <w:tr w:rsidR="00374C35" w:rsidRPr="00991C1D" w:rsidTr="00DD4000">
        <w:tc>
          <w:tcPr>
            <w:tcW w:w="567" w:type="dxa"/>
            <w:shd w:val="clear" w:color="auto" w:fill="auto"/>
          </w:tcPr>
          <w:p w:rsidR="00374C35" w:rsidRPr="006D1D0D" w:rsidRDefault="00374C35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374C35" w:rsidRPr="006D1D0D" w:rsidRDefault="00374C35" w:rsidP="0037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Наплыв трудовых мигрантов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374C35" w:rsidRPr="00991C1D" w:rsidTr="00DD4000">
        <w:tc>
          <w:tcPr>
            <w:tcW w:w="567" w:type="dxa"/>
            <w:shd w:val="clear" w:color="auto" w:fill="auto"/>
          </w:tcPr>
          <w:p w:rsidR="00374C35" w:rsidRPr="006D1D0D" w:rsidRDefault="00374C35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374C35" w:rsidRPr="006D1D0D" w:rsidRDefault="00374C35" w:rsidP="0037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виток мирового финансового кризиса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</w:tr>
      <w:tr w:rsidR="00374C35" w:rsidRPr="00991C1D" w:rsidTr="00DD4000">
        <w:tc>
          <w:tcPr>
            <w:tcW w:w="567" w:type="dxa"/>
            <w:shd w:val="clear" w:color="auto" w:fill="auto"/>
          </w:tcPr>
          <w:p w:rsidR="00374C35" w:rsidRPr="006D1D0D" w:rsidRDefault="00374C35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374C35" w:rsidRPr="006D1D0D" w:rsidRDefault="00374C35" w:rsidP="0037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катаклизмы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374C35" w:rsidRPr="00991C1D" w:rsidTr="00DD4000">
        <w:tc>
          <w:tcPr>
            <w:tcW w:w="567" w:type="dxa"/>
            <w:shd w:val="clear" w:color="auto" w:fill="auto"/>
          </w:tcPr>
          <w:p w:rsidR="00374C35" w:rsidRPr="006D1D0D" w:rsidRDefault="00374C35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374C35" w:rsidRPr="006D1D0D" w:rsidRDefault="00374C35" w:rsidP="0037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 безработицы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</w:tr>
      <w:tr w:rsidR="00374C35" w:rsidRPr="00991C1D" w:rsidTr="00DD4000">
        <w:tc>
          <w:tcPr>
            <w:tcW w:w="567" w:type="dxa"/>
            <w:shd w:val="clear" w:color="auto" w:fill="auto"/>
          </w:tcPr>
          <w:p w:rsidR="00374C35" w:rsidRPr="006D1D0D" w:rsidRDefault="00374C35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374C35" w:rsidRPr="006D1D0D" w:rsidRDefault="00374C35" w:rsidP="0037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религиозных сект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374C35" w:rsidRPr="00991C1D" w:rsidTr="00DD4000">
        <w:tc>
          <w:tcPr>
            <w:tcW w:w="567" w:type="dxa"/>
            <w:shd w:val="clear" w:color="auto" w:fill="auto"/>
          </w:tcPr>
          <w:p w:rsidR="00374C35" w:rsidRPr="006D1D0D" w:rsidRDefault="00374C35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374C35" w:rsidRPr="006D1D0D" w:rsidRDefault="00374C35" w:rsidP="0037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Несчастный случай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</w:tr>
      <w:tr w:rsidR="00374C35" w:rsidRPr="00991C1D" w:rsidTr="00DD4000">
        <w:tc>
          <w:tcPr>
            <w:tcW w:w="567" w:type="dxa"/>
            <w:shd w:val="clear" w:color="auto" w:fill="auto"/>
          </w:tcPr>
          <w:p w:rsidR="00374C35" w:rsidRPr="006D1D0D" w:rsidRDefault="00374C35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374C35" w:rsidRPr="006D1D0D" w:rsidRDefault="00374C35" w:rsidP="0037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Техногенные катастрофы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374C35" w:rsidRPr="00991C1D" w:rsidTr="00DD4000">
        <w:tc>
          <w:tcPr>
            <w:tcW w:w="567" w:type="dxa"/>
            <w:shd w:val="clear" w:color="auto" w:fill="auto"/>
          </w:tcPr>
          <w:p w:rsidR="00374C35" w:rsidRPr="006D1D0D" w:rsidRDefault="00374C35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374C35" w:rsidRPr="006D1D0D" w:rsidRDefault="00374C35" w:rsidP="0037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Потеря здоровья, тяжелое заболевание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</w:tr>
      <w:tr w:rsidR="00374C35" w:rsidRPr="00991C1D" w:rsidTr="00DD4000">
        <w:tc>
          <w:tcPr>
            <w:tcW w:w="567" w:type="dxa"/>
            <w:shd w:val="clear" w:color="auto" w:fill="auto"/>
          </w:tcPr>
          <w:p w:rsidR="00374C35" w:rsidRPr="006D1D0D" w:rsidRDefault="00374C35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374C35" w:rsidRPr="006D1D0D" w:rsidRDefault="00374C35" w:rsidP="0037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доход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4C35" w:rsidRPr="00DD4000" w:rsidRDefault="00374C35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</w:t>
            </w:r>
          </w:p>
        </w:tc>
      </w:tr>
      <w:tr w:rsidR="005B609F" w:rsidRPr="00991C1D" w:rsidTr="00DD4000">
        <w:tc>
          <w:tcPr>
            <w:tcW w:w="567" w:type="dxa"/>
            <w:shd w:val="clear" w:color="auto" w:fill="auto"/>
          </w:tcPr>
          <w:p w:rsidR="005B609F" w:rsidRPr="006D1D0D" w:rsidRDefault="005B609F" w:rsidP="00374C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bottom"/>
          </w:tcPr>
          <w:p w:rsidR="005B609F" w:rsidRPr="006D1D0D" w:rsidRDefault="005B609F" w:rsidP="002A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609F" w:rsidRPr="00DD4000" w:rsidRDefault="005B609F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609F" w:rsidRPr="00DD4000" w:rsidRDefault="005B609F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</w:tr>
      <w:tr w:rsidR="00374C35" w:rsidRPr="00991C1D" w:rsidTr="00DD4000">
        <w:tc>
          <w:tcPr>
            <w:tcW w:w="7230" w:type="dxa"/>
            <w:gridSpan w:val="2"/>
            <w:shd w:val="clear" w:color="auto" w:fill="auto"/>
          </w:tcPr>
          <w:p w:rsidR="00374C35" w:rsidRPr="006D1D0D" w:rsidRDefault="00374C35" w:rsidP="00D7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lang w:eastAsia="ru-RU"/>
              </w:rPr>
              <w:t xml:space="preserve">Итого  </w:t>
            </w:r>
          </w:p>
        </w:tc>
        <w:tc>
          <w:tcPr>
            <w:tcW w:w="1134" w:type="dxa"/>
            <w:shd w:val="clear" w:color="auto" w:fill="auto"/>
          </w:tcPr>
          <w:p w:rsidR="00374C35" w:rsidRPr="00DD4000" w:rsidRDefault="005B609F" w:rsidP="00D7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lang w:eastAsia="ru-RU"/>
              </w:rPr>
              <w:t>1185</w:t>
            </w:r>
          </w:p>
        </w:tc>
        <w:tc>
          <w:tcPr>
            <w:tcW w:w="1276" w:type="dxa"/>
            <w:shd w:val="clear" w:color="auto" w:fill="auto"/>
          </w:tcPr>
          <w:p w:rsidR="00374C35" w:rsidRPr="00DD4000" w:rsidRDefault="00374C35" w:rsidP="00D729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00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</w:tbl>
    <w:p w:rsidR="003E2335" w:rsidRPr="003E2335" w:rsidRDefault="003E2335" w:rsidP="003E2335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5695950" cy="3467100"/>
            <wp:effectExtent l="0" t="0" r="190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2335" w:rsidRPr="003E2335" w:rsidRDefault="003E2335" w:rsidP="003E2335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3E233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Рис. 1 </w:t>
      </w:r>
      <w:r w:rsidRPr="003E2335">
        <w:rPr>
          <w:rFonts w:ascii="Times New Roman" w:eastAsia="Calibri" w:hAnsi="Times New Roman" w:cs="Times New Roman"/>
          <w:i/>
          <w:noProof/>
          <w:sz w:val="24"/>
          <w:szCs w:val="24"/>
        </w:rPr>
        <w:t>Факторы, представляющие угрозу безопасности респондентов и их близких</w:t>
      </w:r>
    </w:p>
    <w:p w:rsidR="003E2335" w:rsidRDefault="003E2335" w:rsidP="00A772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009A" w:rsidRDefault="00202DE7" w:rsidP="00DD4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2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респонд</w:t>
      </w:r>
      <w:r w:rsidR="00A772FD" w:rsidRPr="00A772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ентами ощущения безопасности (</w:t>
      </w:r>
      <w:r w:rsidR="002B1A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улице,                   </w:t>
      </w:r>
      <w:r w:rsidR="00A772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772FD" w:rsidRPr="00A772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общественных местах, местах проживания, учебы, работы)</w:t>
      </w:r>
    </w:p>
    <w:p w:rsidR="008C3622" w:rsidRDefault="00DD4000" w:rsidP="00DD4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опросе жителей полуострова п</w:t>
      </w:r>
      <w:r w:rsidR="00F0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риблизительно поровну разделилось количество людей, </w:t>
      </w:r>
      <w:r w:rsidR="00C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чувствующих себя в безопасности и нет. </w:t>
      </w:r>
      <w:r w:rsidR="008C3622" w:rsidRPr="008C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безопасно </w:t>
      </w:r>
      <w:r w:rsidR="008C3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ощущают себя 49,8 % респондентов (сумма ответов «да» – 17,6 % и «скорее да» –</w:t>
      </w:r>
      <w:r w:rsidR="0049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</w:t>
      </w:r>
      <w:r w:rsidR="00497F3F" w:rsidRPr="006A7AE4">
        <w:rPr>
          <w:rFonts w:ascii="Times New Roman" w:eastAsia="Times New Roman" w:hAnsi="Times New Roman" w:cs="Times New Roman"/>
          <w:sz w:val="28"/>
          <w:szCs w:val="28"/>
          <w:lang w:eastAsia="ru-RU"/>
        </w:rPr>
        <w:t>2 %</w:t>
      </w:r>
      <w:r w:rsidR="008C3622" w:rsidRPr="006A7A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7F3F" w:rsidRPr="006A7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Окол</w:t>
      </w:r>
      <w:r w:rsidR="00923527" w:rsidRPr="006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7F3F" w:rsidRPr="006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43 % жителей Камчатского края </w:t>
      </w:r>
      <w:r w:rsidR="00F02C52" w:rsidRPr="006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ответов «нет» – 16,1 % и «скорее нет» – 26,6 %) </w:t>
      </w:r>
      <w:r w:rsidR="00497F3F" w:rsidRPr="006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ощущают себя в безопасности, находясь на улице</w:t>
      </w:r>
      <w:r w:rsidR="00F02C52" w:rsidRPr="006A7A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общественных местах, местах проживания, учебы, работы</w:t>
      </w:r>
      <w:r w:rsidR="00253FDD" w:rsidRPr="006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3;    рисунок 2)</w:t>
      </w:r>
      <w:r w:rsidR="00F02C52" w:rsidRPr="006A7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D8" w:rsidRDefault="003A09D8" w:rsidP="003A09D8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2" w:rsidRPr="003A09D8" w:rsidRDefault="00A56D12" w:rsidP="003A09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3A09D8" w:rsidRPr="003A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</w:t>
      </w:r>
      <w:r w:rsidR="00D718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по оценке респондентов</w:t>
      </w:r>
    </w:p>
    <w:p w:rsidR="00A56D12" w:rsidRPr="000579E8" w:rsidRDefault="00A56D12" w:rsidP="00A56D12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134"/>
        <w:gridCol w:w="1276"/>
      </w:tblGrid>
      <w:tr w:rsidR="008C3622" w:rsidRPr="00991C1D" w:rsidTr="003A09D8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991C1D" w:rsidRDefault="008C3622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C3622" w:rsidRPr="00991C1D" w:rsidRDefault="008C3622" w:rsidP="00D72921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991C1D" w:rsidRDefault="008C3622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3622" w:rsidRPr="00991C1D" w:rsidRDefault="00C25403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3A09D8" w:rsidRDefault="008C3622" w:rsidP="00D72921">
            <w:pPr>
              <w:tabs>
                <w:tab w:val="left" w:pos="0"/>
              </w:tabs>
              <w:spacing w:after="0" w:line="24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</w:tr>
      <w:tr w:rsidR="008C3622" w:rsidRPr="00991C1D" w:rsidTr="003A09D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991C1D" w:rsidRDefault="008C3622" w:rsidP="00D72921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991C1D" w:rsidRDefault="008C3622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3A09D8" w:rsidRDefault="008C3622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 респ-ов, </w:t>
            </w:r>
            <w:r w:rsidRPr="003A0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3A09D8" w:rsidRDefault="008C3622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  <w:p w:rsidR="008C3622" w:rsidRPr="003A09D8" w:rsidRDefault="008C3622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числа опрошенных </w:t>
            </w:r>
          </w:p>
        </w:tc>
      </w:tr>
      <w:tr w:rsidR="008C3622" w:rsidRPr="001918AC" w:rsidTr="003A0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8C3622" w:rsidRDefault="008C3622" w:rsidP="00D7292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8C3622" w:rsidRDefault="008C3622" w:rsidP="008C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3A09D8" w:rsidRDefault="008C3622" w:rsidP="008C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3A09D8" w:rsidRDefault="008C3622" w:rsidP="008C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</w:tr>
      <w:tr w:rsidR="008C3622" w:rsidRPr="001918AC" w:rsidTr="003A0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8C3622" w:rsidRDefault="008C3622" w:rsidP="00D7292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8C3622" w:rsidRDefault="008C3622" w:rsidP="008C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3A09D8" w:rsidRDefault="008C3622" w:rsidP="008C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3A09D8" w:rsidRDefault="008C3622" w:rsidP="008C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32,2</w:t>
            </w:r>
          </w:p>
        </w:tc>
      </w:tr>
      <w:tr w:rsidR="008C3622" w:rsidRPr="001918AC" w:rsidTr="003A0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8C3622" w:rsidRDefault="008C3622" w:rsidP="00D7292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8C3622" w:rsidRDefault="008C3622" w:rsidP="008C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3A09D8" w:rsidRDefault="008C3622" w:rsidP="008C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3A09D8" w:rsidRDefault="008C3622" w:rsidP="008C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</w:tr>
      <w:tr w:rsidR="008C3622" w:rsidRPr="001918AC" w:rsidTr="003A0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8C3622" w:rsidRDefault="008C3622" w:rsidP="00D7292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8C3622" w:rsidRDefault="008C3622" w:rsidP="008C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3A09D8" w:rsidRDefault="008C3622" w:rsidP="008C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3A09D8" w:rsidRDefault="008C3622" w:rsidP="008C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8C3622" w:rsidRPr="001918AC" w:rsidTr="003A09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22" w:rsidRPr="008C3622" w:rsidRDefault="008C3622" w:rsidP="00D7292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8C3622" w:rsidRDefault="008C3622" w:rsidP="008C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3A09D8" w:rsidRDefault="008C3622" w:rsidP="008C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622" w:rsidRPr="003A09D8" w:rsidRDefault="008C3622" w:rsidP="008C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2F300F" w:rsidRPr="001918AC" w:rsidTr="003A09D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0F" w:rsidRPr="001918AC" w:rsidRDefault="002F300F" w:rsidP="004B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00F" w:rsidRPr="003A09D8" w:rsidRDefault="002F300F" w:rsidP="004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00F" w:rsidRPr="003A09D8" w:rsidRDefault="002F300F" w:rsidP="004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8C3622" w:rsidRDefault="008C3622" w:rsidP="00A772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3E2335" w:rsidRPr="003E2335" w:rsidRDefault="00F9168D" w:rsidP="00F9168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6DD89C" wp14:editId="2F725B49">
            <wp:extent cx="6129867" cy="2889955"/>
            <wp:effectExtent l="0" t="0" r="2349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2335" w:rsidRPr="003E2335" w:rsidRDefault="003E2335" w:rsidP="00F9168D">
      <w:pPr>
        <w:tabs>
          <w:tab w:val="left" w:pos="130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3E233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Рис. 2  </w:t>
      </w:r>
      <w:r w:rsidRPr="003E2335">
        <w:rPr>
          <w:rFonts w:ascii="Times New Roman" w:eastAsia="Calibri" w:hAnsi="Times New Roman" w:cs="Times New Roman"/>
          <w:i/>
          <w:noProof/>
          <w:sz w:val="24"/>
          <w:szCs w:val="24"/>
        </w:rPr>
        <w:t>Ощущени</w:t>
      </w:r>
      <w:r w:rsidR="006A7AE4">
        <w:rPr>
          <w:rFonts w:ascii="Times New Roman" w:eastAsia="Calibri" w:hAnsi="Times New Roman" w:cs="Times New Roman"/>
          <w:i/>
          <w:noProof/>
          <w:sz w:val="24"/>
          <w:szCs w:val="24"/>
        </w:rPr>
        <w:t>я</w:t>
      </w:r>
      <w:r w:rsidRPr="003E2335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респондентов в безопасности на улице, общественных местах</w:t>
      </w:r>
      <w:r w:rsidR="00253FDD">
        <w:rPr>
          <w:rFonts w:ascii="Times New Roman" w:eastAsia="Calibri" w:hAnsi="Times New Roman" w:cs="Times New Roman"/>
          <w:i/>
          <w:noProof/>
          <w:sz w:val="24"/>
          <w:szCs w:val="24"/>
        </w:rPr>
        <w:t>, в %</w:t>
      </w:r>
    </w:p>
    <w:p w:rsidR="003E2335" w:rsidRPr="00F9168D" w:rsidRDefault="003E2335" w:rsidP="00A772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C3622" w:rsidRDefault="00F75011" w:rsidP="00D71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Отношение респондентов к деятельности</w:t>
      </w:r>
      <w:r w:rsidR="000032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органов исполнительной власти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Камчатского края по обеспечени</w:t>
      </w:r>
      <w:r w:rsidR="005E41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граждан</w:t>
      </w:r>
    </w:p>
    <w:p w:rsidR="00D51EC5" w:rsidRDefault="00C25403" w:rsidP="00D71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отношения жителей Камчатского края к деятельности </w:t>
      </w:r>
      <w:r w:rsidRPr="00742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 Камчатского края по обеспечению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респондентом был задан вопрос по данной тематике. </w:t>
      </w:r>
      <w:r w:rsidR="00D5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оценива</w:t>
      </w:r>
      <w:r w:rsidR="007425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1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деятельность </w:t>
      </w:r>
      <w:r w:rsid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исполнительной власти </w:t>
      </w:r>
      <w:r w:rsidR="00742514" w:rsidRPr="00742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по обеспечению безопасности</w:t>
      </w:r>
      <w:r w:rsidR="0074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третий респондент</w:t>
      </w:r>
      <w:r w:rsidR="002D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(27,9 </w:t>
      </w:r>
      <w:r w:rsidR="00030EB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42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Отрицательное мнение выразил</w:t>
      </w:r>
      <w:r w:rsidR="00D7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4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</w:t>
      </w:r>
      <w:r w:rsidR="00BD2C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опрашиваемых. Результаты опроса показали </w:t>
      </w:r>
      <w:r w:rsidR="0005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процент </w:t>
      </w:r>
      <w:r w:rsidR="00E60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респондентов, которые ничего не знают о деяте</w:t>
      </w:r>
      <w:r w:rsidR="0002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исполнительных органов </w:t>
      </w:r>
      <w:r w:rsidR="00D71894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6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003206" w:rsidRPr="00003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по обеспечению безопасности граждан</w:t>
      </w:r>
      <w:r w:rsidR="0066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25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9E8">
        <w:rPr>
          <w:rFonts w:ascii="Times New Roman" w:eastAsia="Times New Roman" w:hAnsi="Times New Roman" w:cs="Times New Roman"/>
          <w:sz w:val="28"/>
          <w:szCs w:val="28"/>
          <w:lang w:eastAsia="ru-RU"/>
        </w:rPr>
        <w:t>4,6 %</w:t>
      </w:r>
      <w:r w:rsidR="00D7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</w:t>
      </w:r>
      <w:r w:rsidR="000579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5EE7" w:rsidRPr="00D51EC5" w:rsidRDefault="002F5EE7" w:rsidP="00D71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C5" w:rsidRPr="000579E8" w:rsidRDefault="00D51EC5" w:rsidP="00D51E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D51EC5" w:rsidRPr="00D71894" w:rsidRDefault="00D71894" w:rsidP="00D718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4. </w:t>
      </w:r>
      <w:r w:rsidR="00D51EC5" w:rsidRPr="00D71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исполнительной власти Камчатского края</w:t>
      </w:r>
    </w:p>
    <w:p w:rsidR="00D51EC5" w:rsidRPr="008E4EAA" w:rsidRDefault="00D71894" w:rsidP="008E4E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1EC5" w:rsidRPr="00D71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в оценках респондентов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134"/>
        <w:gridCol w:w="1276"/>
      </w:tblGrid>
      <w:tr w:rsidR="00A772FD" w:rsidRPr="00991C1D" w:rsidTr="00D71894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2FD" w:rsidRPr="00991C1D" w:rsidRDefault="00A772FD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772FD" w:rsidRPr="00991C1D" w:rsidRDefault="00A772FD" w:rsidP="00D72921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2FD" w:rsidRPr="00991C1D" w:rsidRDefault="00A772FD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72FD" w:rsidRPr="00991C1D" w:rsidRDefault="00C25403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FD" w:rsidRPr="00D71894" w:rsidRDefault="00A772FD" w:rsidP="00D72921">
            <w:pPr>
              <w:tabs>
                <w:tab w:val="left" w:pos="0"/>
              </w:tabs>
              <w:spacing w:after="0" w:line="24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</w:tr>
      <w:tr w:rsidR="00A772FD" w:rsidRPr="00991C1D" w:rsidTr="00D7189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FD" w:rsidRPr="00991C1D" w:rsidRDefault="00A772FD" w:rsidP="00D72921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FD" w:rsidRPr="00991C1D" w:rsidRDefault="00A772FD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FD" w:rsidRPr="00D71894" w:rsidRDefault="00A772FD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 респ-ов, </w:t>
            </w:r>
            <w:r w:rsidRPr="00D7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FD" w:rsidRPr="00D71894" w:rsidRDefault="00A772FD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  <w:p w:rsidR="00A772FD" w:rsidRPr="00D71894" w:rsidRDefault="00A772FD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числа опрошенных </w:t>
            </w:r>
          </w:p>
        </w:tc>
      </w:tr>
      <w:tr w:rsidR="001918AC" w:rsidRPr="00CE009A" w:rsidTr="00D71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C" w:rsidRPr="00374C35" w:rsidRDefault="001918AC" w:rsidP="005E41E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1918AC" w:rsidRDefault="001918AC" w:rsidP="001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</w:tr>
      <w:tr w:rsidR="001918AC" w:rsidRPr="00CE009A" w:rsidTr="00D71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C" w:rsidRPr="00374C35" w:rsidRDefault="001918AC" w:rsidP="005E41E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6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C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1918AC" w:rsidRDefault="001918AC" w:rsidP="001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</w:t>
            </w:r>
          </w:p>
        </w:tc>
      </w:tr>
      <w:tr w:rsidR="001918AC" w:rsidRPr="00CE009A" w:rsidTr="00D71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C" w:rsidRPr="00374C35" w:rsidRDefault="001918AC" w:rsidP="005E41E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1918AC" w:rsidRDefault="001918AC" w:rsidP="001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отрицательно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1918AC" w:rsidRPr="00CE009A" w:rsidTr="00D71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C" w:rsidRPr="00374C35" w:rsidRDefault="001918AC" w:rsidP="005E41E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1918AC" w:rsidRDefault="001918AC" w:rsidP="001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отрицательно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10,7</w:t>
            </w:r>
          </w:p>
        </w:tc>
      </w:tr>
      <w:tr w:rsidR="001918AC" w:rsidRPr="00CE009A" w:rsidTr="00D71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C" w:rsidRPr="00374C35" w:rsidRDefault="001918AC" w:rsidP="005E41E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1918AC" w:rsidRDefault="001918AC" w:rsidP="001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 не знаю об их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</w:t>
            </w:r>
          </w:p>
        </w:tc>
      </w:tr>
      <w:tr w:rsidR="001918AC" w:rsidRPr="00CE009A" w:rsidTr="00D71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C" w:rsidRPr="00374C35" w:rsidRDefault="001918AC" w:rsidP="005E41E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1918AC" w:rsidRDefault="001918AC" w:rsidP="001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</w:tr>
      <w:tr w:rsidR="001918AC" w:rsidRPr="00CE009A" w:rsidTr="00D71894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C" w:rsidRPr="001918AC" w:rsidRDefault="001918AC" w:rsidP="00191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AC" w:rsidRPr="00D71894" w:rsidRDefault="001918AC" w:rsidP="001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404966" w:rsidRDefault="00404966" w:rsidP="0003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2E4D" w:rsidRPr="005C5974" w:rsidRDefault="002F5EE7" w:rsidP="0003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2E4D">
        <w:rPr>
          <w:rFonts w:ascii="Times New Roman" w:hAnsi="Times New Roman" w:cs="Times New Roman"/>
          <w:sz w:val="28"/>
          <w:szCs w:val="28"/>
        </w:rPr>
        <w:t>феврале 2015 года в Камчатском крае проведен опрос общественного мнения «</w:t>
      </w:r>
      <w:r w:rsidR="00D52E4D" w:rsidRPr="005C5974">
        <w:rPr>
          <w:rFonts w:ascii="Times New Roman" w:hAnsi="Times New Roman" w:cs="Times New Roman"/>
          <w:sz w:val="28"/>
          <w:szCs w:val="28"/>
        </w:rPr>
        <w:t>Удовлетворенность населения деятельностью органов местного самоуправления за 2014 год</w:t>
      </w:r>
      <w:r w:rsidR="00D52E4D">
        <w:rPr>
          <w:rFonts w:ascii="Times New Roman" w:hAnsi="Times New Roman" w:cs="Times New Roman"/>
          <w:sz w:val="28"/>
          <w:szCs w:val="28"/>
        </w:rPr>
        <w:t xml:space="preserve">». Одним из вопросов, предложенным респондентам в анкете,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D52E4D">
        <w:rPr>
          <w:rFonts w:ascii="Times New Roman" w:hAnsi="Times New Roman" w:cs="Times New Roman"/>
          <w:sz w:val="28"/>
          <w:szCs w:val="28"/>
        </w:rPr>
        <w:t xml:space="preserve"> вопрос об удовлетворенности населения </w:t>
      </w:r>
      <w:r w:rsidR="00D52E4D" w:rsidRPr="005C5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деятельностью  органов  местного самоуправления в сфере обеспечения </w:t>
      </w:r>
      <w:r w:rsidR="00D52E4D" w:rsidRPr="005C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граждан</w:t>
      </w:r>
      <w:r w:rsidR="00D5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целом по Камчатскому краю удовлетворенность жителей полуострова составила </w:t>
      </w:r>
      <w:r w:rsidR="00D52E4D" w:rsidRPr="005C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52,7 %, что на 5,1 % выше показателя предыдущего года (47,6 %). </w:t>
      </w:r>
    </w:p>
    <w:p w:rsidR="00D52E4D" w:rsidRPr="00D52E4D" w:rsidRDefault="00D52E4D" w:rsidP="00A772F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ru-RU"/>
        </w:rPr>
      </w:pPr>
    </w:p>
    <w:p w:rsidR="00A772FD" w:rsidRDefault="00412632" w:rsidP="002F5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26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</w:t>
      </w:r>
      <w:r w:rsidR="002F60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эффективности  мер </w:t>
      </w:r>
      <w:r w:rsidRPr="004126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обеспечению безопасности населения от </w:t>
      </w:r>
      <w:r w:rsidR="002F60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чрезвычайных ситуаций</w:t>
      </w:r>
    </w:p>
    <w:p w:rsidR="008D2F7F" w:rsidRPr="00022AE8" w:rsidRDefault="00022AE8" w:rsidP="002F5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трети (30,7 %</w:t>
      </w:r>
      <w:r w:rsidR="002F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30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ответов «б</w:t>
      </w:r>
      <w:r w:rsidR="00030EBB" w:rsidRPr="000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езусловно, положительно</w:t>
      </w:r>
      <w:r w:rsidR="00030E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3979">
        <w:rPr>
          <w:rFonts w:ascii="Times New Roman" w:eastAsia="Times New Roman" w:hAnsi="Times New Roman" w:cs="Times New Roman"/>
          <w:sz w:val="28"/>
          <w:szCs w:val="28"/>
          <w:lang w:eastAsia="ru-RU"/>
        </w:rPr>
        <w:t>(4,9 %) и «скорее положительно» (25,8 %)</w:t>
      </w:r>
      <w:r w:rsidRPr="00022A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 в целом положительно оценивают достаточность и эффективность мер, принимаемых органами исполнительной власти </w:t>
      </w:r>
      <w:r w:rsidRPr="00003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</w:t>
      </w:r>
      <w:r w:rsidR="00BD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от чрезвычайных ситуаций; в</w:t>
      </w:r>
      <w:r w:rsidR="0003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о</w:t>
      </w:r>
      <w:r w:rsidR="00BD2C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трицательно – 34,3 % (сумма ответов «б</w:t>
      </w:r>
      <w:r w:rsidR="00BD2CC8" w:rsidRPr="000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езусловно, </w:t>
      </w:r>
      <w:r w:rsidR="00BD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</w:t>
      </w:r>
      <w:r w:rsidR="00BD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(13,6 %) и «скорее </w:t>
      </w:r>
      <w:r w:rsidR="002F5EE7" w:rsidRPr="0097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</w:t>
      </w:r>
      <w:r w:rsidR="00BD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(20,7 %)). </w:t>
      </w:r>
      <w:r w:rsidR="002A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предыдущем вопросе высок процент респондентов, </w:t>
      </w:r>
      <w:r w:rsidR="0003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знающих о </w:t>
      </w:r>
      <w:r w:rsidR="00030EBB" w:rsidRPr="000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0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</w:t>
      </w:r>
      <w:r w:rsidR="00030EBB" w:rsidRPr="000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сфере</w:t>
      </w:r>
      <w:r w:rsidR="000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(23,3 %).</w:t>
      </w:r>
      <w:r w:rsidR="0088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респондентами работы органов исполнительной власти Камчатского края по обеспечению безопасности населения наглядно представ</w:t>
      </w:r>
      <w:r w:rsidR="0052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в таблице 5, на рис. 3.</w:t>
      </w:r>
    </w:p>
    <w:p w:rsidR="008E4EAA" w:rsidRDefault="008E4EAA" w:rsidP="008E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AA" w:rsidRDefault="00412632" w:rsidP="008E4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  <w:r w:rsidR="008E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EAA" w:rsidRPr="008E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Достаточность и эффективность мер</w:t>
      </w:r>
      <w:r w:rsidR="008E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EAA" w:rsidRPr="008E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безопасности </w:t>
      </w:r>
    </w:p>
    <w:p w:rsidR="0042131F" w:rsidRPr="008E4EAA" w:rsidRDefault="008E4EAA" w:rsidP="008E4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E4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от ЧС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134"/>
        <w:gridCol w:w="1276"/>
      </w:tblGrid>
      <w:tr w:rsidR="00412632" w:rsidRPr="00991C1D" w:rsidTr="008E4EAA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32" w:rsidRPr="00991C1D" w:rsidRDefault="00412632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12632" w:rsidRPr="00991C1D" w:rsidRDefault="00412632" w:rsidP="00D72921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32" w:rsidRPr="00991C1D" w:rsidRDefault="00412632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2632" w:rsidRPr="00991C1D" w:rsidRDefault="00C25403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2" w:rsidRPr="008E4EAA" w:rsidRDefault="00412632" w:rsidP="00D72921">
            <w:pPr>
              <w:tabs>
                <w:tab w:val="left" w:pos="0"/>
              </w:tabs>
              <w:spacing w:after="0" w:line="24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</w:tr>
      <w:tr w:rsidR="00412632" w:rsidRPr="00991C1D" w:rsidTr="008E4EA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2" w:rsidRPr="00991C1D" w:rsidRDefault="00412632" w:rsidP="00D72921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2" w:rsidRPr="00991C1D" w:rsidRDefault="00412632" w:rsidP="00D7292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2" w:rsidRPr="008E4EAA" w:rsidRDefault="00412632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 респ-ов, </w:t>
            </w:r>
            <w:r w:rsidRPr="008E4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32" w:rsidRPr="008E4EAA" w:rsidRDefault="00412632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  <w:p w:rsidR="00412632" w:rsidRPr="008E4EAA" w:rsidRDefault="00412632" w:rsidP="00D7292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числа опрошенных </w:t>
            </w:r>
          </w:p>
        </w:tc>
      </w:tr>
      <w:tr w:rsidR="0042131F" w:rsidRPr="001918AC" w:rsidTr="008E4E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1F" w:rsidRPr="006D1D0D" w:rsidRDefault="0042131F" w:rsidP="0042131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6D1D0D" w:rsidRDefault="0042131F" w:rsidP="0042131F">
            <w:pPr>
              <w:spacing w:after="0" w:line="240" w:lineRule="auto"/>
              <w:ind w:leftChars="-1" w:left="-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Безусловно,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42131F" w:rsidRPr="001918AC" w:rsidTr="008E4E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1F" w:rsidRPr="006D1D0D" w:rsidRDefault="0042131F" w:rsidP="00412632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6D1D0D" w:rsidRDefault="0042131F" w:rsidP="0042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Скорее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</w:t>
            </w:r>
          </w:p>
        </w:tc>
      </w:tr>
      <w:tr w:rsidR="0042131F" w:rsidRPr="001918AC" w:rsidTr="008E4E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1F" w:rsidRPr="006D1D0D" w:rsidRDefault="0042131F" w:rsidP="00412632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6D1D0D" w:rsidRDefault="0042131F" w:rsidP="0042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Скорее отрицательно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20,7</w:t>
            </w:r>
          </w:p>
        </w:tc>
      </w:tr>
      <w:tr w:rsidR="0042131F" w:rsidRPr="001918AC" w:rsidTr="008E4E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1F" w:rsidRPr="006D1D0D" w:rsidRDefault="0042131F" w:rsidP="00412632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6D1D0D" w:rsidRDefault="0042131F" w:rsidP="0042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Безусловно, отрицательно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</w:tr>
      <w:tr w:rsidR="0042131F" w:rsidRPr="001918AC" w:rsidTr="008E4E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1F" w:rsidRPr="006D1D0D" w:rsidRDefault="0042131F" w:rsidP="00412632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6D1D0D" w:rsidRDefault="0042131F" w:rsidP="0042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Ничего не знаю об их деятельности в данной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23,3</w:t>
            </w:r>
          </w:p>
        </w:tc>
      </w:tr>
      <w:tr w:rsidR="0042131F" w:rsidRPr="001918AC" w:rsidTr="008E4E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1F" w:rsidRPr="006D1D0D" w:rsidRDefault="0042131F" w:rsidP="00412632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6D1D0D" w:rsidRDefault="0042131F" w:rsidP="0042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1F" w:rsidRPr="008E4EAA" w:rsidRDefault="0042131F" w:rsidP="0042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2F300F" w:rsidRPr="001918AC" w:rsidTr="008E4EA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0F" w:rsidRPr="006D1D0D" w:rsidRDefault="002F300F" w:rsidP="004B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00F" w:rsidRPr="008E4EAA" w:rsidRDefault="002F300F" w:rsidP="004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lang w:eastAsia="ru-RU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00F" w:rsidRPr="008E4EAA" w:rsidRDefault="002F300F" w:rsidP="004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E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2F300F" w:rsidRPr="0099048C" w:rsidRDefault="002F300F" w:rsidP="00DC6CCB">
      <w:pPr>
        <w:ind w:firstLine="708"/>
        <w:jc w:val="both"/>
        <w:rPr>
          <w:noProof/>
          <w:sz w:val="8"/>
          <w:szCs w:val="8"/>
          <w:lang w:eastAsia="ru-RU"/>
        </w:rPr>
      </w:pPr>
    </w:p>
    <w:p w:rsidR="00882D37" w:rsidRDefault="00882D37" w:rsidP="009904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5DDE69" wp14:editId="7A2A33E3">
            <wp:extent cx="6076950" cy="27908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2D37" w:rsidRPr="00882D37" w:rsidRDefault="00882D37" w:rsidP="0099048C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882D37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Рис. 3 </w:t>
      </w:r>
      <w:r w:rsidRPr="00882D37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Оценка работы </w:t>
      </w:r>
      <w:r w:rsidR="0099048C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ИОГВ </w:t>
      </w:r>
      <w:r w:rsidRPr="00882D37">
        <w:rPr>
          <w:rFonts w:ascii="Times New Roman" w:eastAsia="Calibri" w:hAnsi="Times New Roman" w:cs="Times New Roman"/>
          <w:i/>
          <w:noProof/>
          <w:sz w:val="24"/>
          <w:szCs w:val="24"/>
        </w:rPr>
        <w:t>по обеспечению безопасности населения</w:t>
      </w:r>
    </w:p>
    <w:p w:rsidR="006073F3" w:rsidRDefault="006073F3" w:rsidP="008E4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6CCB" w:rsidRDefault="00DC6CCB" w:rsidP="008E4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Ощущение защищённости от преступ</w:t>
      </w:r>
      <w:r w:rsidR="008472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ников, от посягательств на </w:t>
      </w:r>
      <w:r w:rsidRPr="00DC6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жизнь, здоровье</w:t>
      </w:r>
      <w:r w:rsidR="00312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Pr="00DC6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имущество</w:t>
      </w:r>
    </w:p>
    <w:p w:rsidR="002D5B34" w:rsidRPr="00A050E6" w:rsidRDefault="002D5B34" w:rsidP="008E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</w:t>
      </w:r>
      <w:r w:rsidR="00E5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показало, что только 37,9 </w:t>
      </w: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1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D92"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</w:t>
      </w:r>
      <w:r w:rsidR="00E5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1C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ответов «</w:t>
      </w:r>
      <w:r w:rsidR="00312B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421C" w:rsidRPr="004A6D4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езусловно, защищённым (-ной)</w:t>
      </w:r>
      <w:r w:rsidR="00E1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52D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4,1 %, «</w:t>
      </w:r>
      <w:r w:rsidR="00312B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421C" w:rsidRPr="00E5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корее защищённым (-ной), чем незащищённым (-ной)</w:t>
      </w:r>
      <w:r w:rsidR="00E14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1421C">
        <w:rPr>
          <w:rFonts w:ascii="Times New Roman" w:eastAsia="Times New Roman" w:hAnsi="Times New Roman" w:cs="Times New Roman"/>
          <w:sz w:val="28"/>
          <w:szCs w:val="28"/>
          <w:lang w:eastAsia="ru-RU"/>
        </w:rPr>
        <w:t>33,8 %)</w:t>
      </w: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чувствуют себя защищенными от преступников, </w:t>
      </w:r>
      <w:r w:rsidR="00E5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посягательств на жизнь, здоровье</w:t>
      </w:r>
      <w:r w:rsidR="003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E1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19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опрашиваемых</w:t>
      </w:r>
      <w:r w:rsidR="0040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 w:rsidR="00601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напротив, испыты</w:t>
      </w:r>
      <w:r w:rsidR="00A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чувство незащищенности –</w:t>
      </w:r>
      <w:r w:rsidR="0040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F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3F1C">
        <w:rPr>
          <w:rFonts w:ascii="Times New Roman" w:eastAsia="Times New Roman" w:hAnsi="Times New Roman" w:cs="Times New Roman"/>
          <w:sz w:val="28"/>
          <w:szCs w:val="28"/>
          <w:lang w:eastAsia="ru-RU"/>
        </w:rPr>
        <w:t>,4 %</w:t>
      </w:r>
      <w:r w:rsidR="0040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0E6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ответов «</w:t>
      </w:r>
      <w:r w:rsidR="00312B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50E6" w:rsidRPr="004A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корее незащищённым (-ной), чем защищённым (-ной)</w:t>
      </w:r>
      <w:r w:rsidR="00A050E6" w:rsidRPr="00A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50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34,5 % </w:t>
      </w:r>
      <w:r w:rsidR="00A050E6" w:rsidRPr="00A050E6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312B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050E6" w:rsidRPr="004A6D4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езусловно, незащищённым (-ной)</w:t>
      </w:r>
      <w:r w:rsidR="00A050E6" w:rsidRPr="00A050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18,8 %).</w:t>
      </w:r>
    </w:p>
    <w:p w:rsidR="002D5B34" w:rsidRDefault="002D5B34" w:rsidP="00DC6CCB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00" w:rsidRPr="00312B00" w:rsidRDefault="00DC6CCB" w:rsidP="0031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  <w:r w:rsidR="003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B00" w:rsidRPr="003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 защищённости от преступников, от посягательств</w:t>
      </w:r>
    </w:p>
    <w:p w:rsidR="00DC6CCB" w:rsidRPr="00312B00" w:rsidRDefault="00312B00" w:rsidP="00312B00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12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жизнь, здоровье, имущество по оценке респондентов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134"/>
        <w:gridCol w:w="1276"/>
      </w:tblGrid>
      <w:tr w:rsidR="00DC6CCB" w:rsidRPr="00991C1D" w:rsidTr="00312B00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CB" w:rsidRPr="00991C1D" w:rsidRDefault="00DC6CCB" w:rsidP="004B1B8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C6CCB" w:rsidRPr="00991C1D" w:rsidRDefault="00DC6CCB" w:rsidP="004B1B81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CB" w:rsidRPr="00991C1D" w:rsidRDefault="00DC6CCB" w:rsidP="004B1B8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6CCB" w:rsidRPr="00991C1D" w:rsidRDefault="00C25403" w:rsidP="004B1B8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CB" w:rsidRPr="00312B00" w:rsidRDefault="00DC6CCB" w:rsidP="004B1B81">
            <w:pPr>
              <w:tabs>
                <w:tab w:val="left" w:pos="0"/>
              </w:tabs>
              <w:spacing w:after="0" w:line="24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</w:tr>
      <w:tr w:rsidR="00DC6CCB" w:rsidRPr="00991C1D" w:rsidTr="00312B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CB" w:rsidRPr="00991C1D" w:rsidRDefault="00DC6CCB" w:rsidP="004B1B81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CB" w:rsidRPr="00991C1D" w:rsidRDefault="00DC6CCB" w:rsidP="004B1B8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CB" w:rsidRPr="00312B00" w:rsidRDefault="00DC6CCB" w:rsidP="004B1B8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 респ-ов, </w:t>
            </w:r>
            <w:r w:rsidRPr="00312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CB" w:rsidRPr="00312B00" w:rsidRDefault="00DC6CCB" w:rsidP="004B1B8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  <w:p w:rsidR="00DC6CCB" w:rsidRPr="00312B00" w:rsidRDefault="00DC6CCB" w:rsidP="004B1B8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числа опрошенных </w:t>
            </w:r>
          </w:p>
        </w:tc>
      </w:tr>
      <w:tr w:rsidR="000A677B" w:rsidRPr="001918AC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7B" w:rsidRPr="008C3622" w:rsidRDefault="000A677B" w:rsidP="000A677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0A677B" w:rsidRDefault="000A677B" w:rsidP="000A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Безусловно, защищённым (-ной)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312B00" w:rsidRDefault="000A677B" w:rsidP="000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312B00" w:rsidRDefault="000A677B" w:rsidP="000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0A677B" w:rsidRPr="001918AC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7B" w:rsidRPr="008C3622" w:rsidRDefault="000A677B" w:rsidP="00DC6CC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0A677B" w:rsidRDefault="000A677B" w:rsidP="000A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защищённым (-ной), чем незащищённым (-ной)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312B00" w:rsidRDefault="000A677B" w:rsidP="000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312B00" w:rsidRDefault="000A677B" w:rsidP="000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</w:tr>
      <w:tr w:rsidR="000A677B" w:rsidRPr="001918AC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7B" w:rsidRPr="008C3622" w:rsidRDefault="000A677B" w:rsidP="00DC6CC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0A677B" w:rsidRDefault="000A677B" w:rsidP="000A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незащищённым (-ной), чем защищённым (-ной)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312B00" w:rsidRDefault="000A677B" w:rsidP="000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312B00" w:rsidRDefault="000A677B" w:rsidP="000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0A677B" w:rsidRPr="001918AC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7B" w:rsidRPr="008C3622" w:rsidRDefault="000A677B" w:rsidP="00DC6CC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0A677B" w:rsidRDefault="000A677B" w:rsidP="000A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Безусловно, незащищённым (-ной)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312B00" w:rsidRDefault="000A677B" w:rsidP="000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312B00" w:rsidRDefault="000A677B" w:rsidP="000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</w:tr>
      <w:tr w:rsidR="000A677B" w:rsidRPr="001918AC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7B" w:rsidRPr="008C3622" w:rsidRDefault="000A677B" w:rsidP="00DC6CC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0A677B" w:rsidRDefault="000A677B" w:rsidP="000A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312B00" w:rsidRDefault="000A677B" w:rsidP="000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77B" w:rsidRPr="00312B00" w:rsidRDefault="000A677B" w:rsidP="000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2F300F" w:rsidRPr="001918AC" w:rsidTr="00312B00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0F" w:rsidRPr="001918AC" w:rsidRDefault="002F300F" w:rsidP="004B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00F" w:rsidRPr="00312B00" w:rsidRDefault="002F300F" w:rsidP="004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00F" w:rsidRPr="00312B00" w:rsidRDefault="002F300F" w:rsidP="004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2D6D67" w:rsidRDefault="002D6D67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7D7C" w:rsidRDefault="00417D7C" w:rsidP="00665A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2F0C41" wp14:editId="184BE618">
            <wp:extent cx="5934075" cy="3343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6D41" w:rsidRDefault="00665A92" w:rsidP="004A6D41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665A9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Рис. 4 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Ощущ</w:t>
      </w:r>
      <w:r w:rsidR="00253FDD" w:rsidRPr="00665A9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ение защищенности </w:t>
      </w:r>
      <w:r w:rsidR="004A6D41">
        <w:rPr>
          <w:rFonts w:ascii="Times New Roman" w:eastAsia="Calibri" w:hAnsi="Times New Roman" w:cs="Times New Roman"/>
          <w:i/>
          <w:noProof/>
          <w:sz w:val="24"/>
          <w:szCs w:val="24"/>
        </w:rPr>
        <w:t>респондентов от преступников,</w:t>
      </w:r>
    </w:p>
    <w:p w:rsidR="00253FDD" w:rsidRPr="00665A92" w:rsidRDefault="00312B00" w:rsidP="004A6D41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от </w:t>
      </w:r>
      <w:r w:rsidR="00253FDD" w:rsidRPr="00665A92">
        <w:rPr>
          <w:rFonts w:ascii="Times New Roman" w:eastAsia="Calibri" w:hAnsi="Times New Roman" w:cs="Times New Roman"/>
          <w:i/>
          <w:noProof/>
          <w:sz w:val="24"/>
          <w:szCs w:val="24"/>
        </w:rPr>
        <w:t>посягательств на жизнь, здоровье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и </w:t>
      </w:r>
      <w:r w:rsidR="00253FDD" w:rsidRPr="00665A9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имущество</w:t>
      </w:r>
    </w:p>
    <w:p w:rsidR="00253FDD" w:rsidRDefault="00253FDD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60E1" w:rsidRDefault="002F60E1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60E1" w:rsidRDefault="002F60E1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73F3" w:rsidRDefault="006073F3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0276" w:rsidRPr="00780276" w:rsidRDefault="00780276" w:rsidP="00312B0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80276">
        <w:rPr>
          <w:rFonts w:ascii="Times New Roman" w:hAnsi="Times New Roman"/>
          <w:b/>
          <w:i/>
          <w:sz w:val="28"/>
          <w:szCs w:val="28"/>
        </w:rPr>
        <w:t>Социально-демографическая структура выборки</w:t>
      </w:r>
    </w:p>
    <w:p w:rsidR="002861DF" w:rsidRPr="002B1A1F" w:rsidRDefault="002B1A1F" w:rsidP="0031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Социально-демографическая структура выборки представлена </w:t>
      </w:r>
      <w:r w:rsidR="0078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B1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7, на рисунке 5.</w:t>
      </w:r>
    </w:p>
    <w:p w:rsidR="00037A32" w:rsidRDefault="00037A32" w:rsidP="00037A32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92" w:rsidRPr="00037A32" w:rsidRDefault="00166892" w:rsidP="00037A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  <w:r w:rsidR="000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7A32" w:rsidRPr="000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Половозрастной состав респондентов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134"/>
        <w:gridCol w:w="1276"/>
      </w:tblGrid>
      <w:tr w:rsidR="002D6D67" w:rsidRPr="00991C1D" w:rsidTr="00312B00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D67" w:rsidRPr="00991C1D" w:rsidRDefault="002D6D67" w:rsidP="004B1B8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D6D67" w:rsidRPr="00991C1D" w:rsidRDefault="002D6D67" w:rsidP="004B1B81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D67" w:rsidRPr="00991C1D" w:rsidRDefault="002D6D67" w:rsidP="004B1B8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6D67" w:rsidRPr="00991C1D" w:rsidRDefault="002D6D67" w:rsidP="004B1B8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67" w:rsidRPr="00991C1D" w:rsidRDefault="002D6D67" w:rsidP="004B1B81">
            <w:pPr>
              <w:tabs>
                <w:tab w:val="left" w:pos="0"/>
              </w:tabs>
              <w:spacing w:after="0" w:line="24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</w:tr>
      <w:tr w:rsidR="002D6D67" w:rsidRPr="00991C1D" w:rsidTr="00312B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67" w:rsidRPr="00991C1D" w:rsidRDefault="002D6D67" w:rsidP="004B1B81">
            <w:pPr>
              <w:tabs>
                <w:tab w:val="left" w:pos="0"/>
              </w:tabs>
              <w:spacing w:after="0" w:line="240" w:lineRule="exact"/>
              <w:ind w:right="-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67" w:rsidRPr="00991C1D" w:rsidRDefault="002D6D67" w:rsidP="004B1B81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67" w:rsidRPr="00991C1D" w:rsidRDefault="002D6D67" w:rsidP="004B1B8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 респ-ов, </w:t>
            </w:r>
            <w:r w:rsidRPr="00991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67" w:rsidRPr="00991C1D" w:rsidRDefault="002D6D67" w:rsidP="004B1B8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  <w:p w:rsidR="002D6D67" w:rsidRPr="00991C1D" w:rsidRDefault="002D6D67" w:rsidP="004B1B81">
            <w:pPr>
              <w:tabs>
                <w:tab w:val="left" w:pos="0"/>
              </w:tabs>
              <w:spacing w:after="0" w:line="200" w:lineRule="exact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числа опрошенных </w:t>
            </w:r>
          </w:p>
        </w:tc>
      </w:tr>
      <w:tr w:rsidR="00470D3F" w:rsidRPr="00991C1D" w:rsidTr="00470D3F">
        <w:trPr>
          <w:trHeight w:val="336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3F" w:rsidRPr="00312B00" w:rsidRDefault="00470D3F" w:rsidP="00037A3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</w:tr>
      <w:tr w:rsidR="002D6D67" w:rsidRPr="0042131F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67" w:rsidRPr="008C3622" w:rsidRDefault="002D6D67" w:rsidP="002D6D6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7" w:rsidRPr="00312B00" w:rsidRDefault="002D6D67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7" w:rsidRPr="00312B00" w:rsidRDefault="002D6D67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7" w:rsidRPr="00312B00" w:rsidRDefault="002D6D67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</w:tr>
      <w:tr w:rsidR="002D6D67" w:rsidRPr="0042131F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67" w:rsidRPr="002D6D67" w:rsidRDefault="002D6D67" w:rsidP="002D6D67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7" w:rsidRPr="00312B00" w:rsidRDefault="002D6D67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7" w:rsidRPr="00312B00" w:rsidRDefault="002D6D67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7" w:rsidRPr="00312B00" w:rsidRDefault="002D6D67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</w:tc>
      </w:tr>
      <w:tr w:rsidR="00470D3F" w:rsidRPr="0042131F" w:rsidTr="00312B00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3F" w:rsidRPr="00312B00" w:rsidRDefault="00470D3F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70D3F" w:rsidRPr="0042131F" w:rsidTr="00C30D09">
        <w:trPr>
          <w:trHeight w:val="4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3F" w:rsidRPr="00312B00" w:rsidRDefault="00470D3F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470D3F" w:rsidRPr="0042131F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3F" w:rsidRPr="002D6D67" w:rsidRDefault="00470D3F" w:rsidP="00470D3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470D3F" w:rsidRPr="0042131F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3F" w:rsidRPr="002D6D67" w:rsidRDefault="00470D3F" w:rsidP="00470D3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28,1</w:t>
            </w:r>
          </w:p>
        </w:tc>
      </w:tr>
      <w:tr w:rsidR="00470D3F" w:rsidRPr="0042131F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3F" w:rsidRPr="002D6D67" w:rsidRDefault="00470D3F" w:rsidP="00470D3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</w:t>
            </w:r>
          </w:p>
        </w:tc>
      </w:tr>
      <w:tr w:rsidR="00470D3F" w:rsidRPr="0042131F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3F" w:rsidRPr="002D6D67" w:rsidRDefault="00470D3F" w:rsidP="00470D3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</w:tr>
      <w:tr w:rsidR="00470D3F" w:rsidRPr="0042131F" w:rsidTr="00312B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3F" w:rsidRPr="002D6D67" w:rsidRDefault="00470D3F" w:rsidP="00470D3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D3F" w:rsidRPr="00312B00" w:rsidRDefault="00470D3F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C30D09" w:rsidRPr="001918AC" w:rsidTr="00312B00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09" w:rsidRPr="00312B00" w:rsidRDefault="00C30D09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D09" w:rsidRPr="00312B00" w:rsidRDefault="00C30D09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D09" w:rsidRPr="00312B00" w:rsidRDefault="00C30D09" w:rsidP="0031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2F300F" w:rsidRDefault="002F300F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0889" w:rsidRDefault="00916265" w:rsidP="004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1C99A8" wp14:editId="67737B17">
            <wp:extent cx="5937956" cy="2946400"/>
            <wp:effectExtent l="0" t="0" r="24765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6D41" w:rsidRPr="004A6D41" w:rsidRDefault="004A6D41" w:rsidP="004A6D4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A6D41">
        <w:rPr>
          <w:rFonts w:ascii="Times New Roman" w:eastAsia="Calibri" w:hAnsi="Times New Roman" w:cs="Times New Roman"/>
          <w:i/>
          <w:noProof/>
          <w:sz w:val="24"/>
          <w:szCs w:val="24"/>
        </w:rPr>
        <w:t>Рис. 5  Половозрастной состав респондентов</w:t>
      </w:r>
    </w:p>
    <w:p w:rsidR="00470D3F" w:rsidRDefault="00470D3F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60E1" w:rsidRDefault="002F60E1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60E1" w:rsidRDefault="002F60E1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60E1" w:rsidRDefault="002F60E1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60E1" w:rsidRDefault="002F60E1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60E1" w:rsidRDefault="002F60E1" w:rsidP="00DC6CC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72D2" w:rsidRDefault="00EF510F" w:rsidP="002F6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выводы социологического опроса</w:t>
      </w:r>
    </w:p>
    <w:p w:rsidR="004F60A7" w:rsidRDefault="00387538" w:rsidP="002F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 социологический опрос по изучению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A7" w:rsidRPr="004F6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 мнения о деятельности органов власти по обеспечению безопасности граждан Камчатского края</w:t>
      </w:r>
      <w:r w:rsidR="004F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 следующие выводы:</w:t>
      </w:r>
    </w:p>
    <w:p w:rsidR="004F60A7" w:rsidRPr="007A460B" w:rsidRDefault="007A460B" w:rsidP="002F60E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половины жителей</w:t>
      </w:r>
      <w:r w:rsidR="002F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2F662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</w:t>
      </w:r>
      <w:r w:rsidR="001C03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себя в безопасности на улице, общественных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наибольший процент респондентов, чувствующих себя в безопасности, проживает в Петропавловске-Камчатском – </w:t>
      </w:r>
      <w:r w:rsidRPr="007A460B">
        <w:rPr>
          <w:rFonts w:ascii="Times New Roman" w:eastAsia="Times New Roman" w:hAnsi="Times New Roman" w:cs="Times New Roman"/>
          <w:sz w:val="28"/>
          <w:szCs w:val="28"/>
          <w:lang w:eastAsia="ru-RU"/>
        </w:rPr>
        <w:t>51,3 %</w:t>
      </w:r>
      <w:r w:rsidR="0091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A4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Елизовском районе – 48</w:t>
      </w:r>
      <w:r w:rsidR="00914E40">
        <w:rPr>
          <w:rFonts w:ascii="Times New Roman" w:eastAsia="Times New Roman" w:hAnsi="Times New Roman" w:cs="Times New Roman"/>
          <w:sz w:val="28"/>
          <w:szCs w:val="28"/>
          <w:lang w:eastAsia="ru-RU"/>
        </w:rPr>
        <w:t>,6 %, в Вилючинске – 46 %</w:t>
      </w:r>
      <w:r w:rsidRPr="007A4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10F" w:rsidRDefault="00914E40" w:rsidP="002F60E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исполнительной власти Камчатского края</w:t>
      </w:r>
      <w:r w:rsidR="001A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граждан</w:t>
      </w:r>
      <w:r w:rsidR="00B71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достаточность и эффективност</w:t>
      </w:r>
      <w:r w:rsidR="008E666A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мер, предпринимаемых ими по обеспечению безопасности населения от ЧС,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опрашиваемых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оценили отрицательно (34,7 %</w:t>
      </w:r>
      <w:r w:rsidR="008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34,3 % соответственно</w:t>
      </w:r>
      <w:r w:rsidR="00B710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6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0A9" w:rsidRPr="00B60E22" w:rsidRDefault="001A00A9" w:rsidP="002F60E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 процент респондентов, ничего не знающих о деятельности органов исполнительной власти Камчатского края в сфере безопасности (около 25 %).</w:t>
      </w:r>
    </w:p>
    <w:p w:rsidR="008E666A" w:rsidRDefault="00661B52" w:rsidP="002F60E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жителей региона не чувствуют себя защищенными от преступников, от </w:t>
      </w: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посягательств на жизнь, здоровье</w:t>
      </w:r>
      <w:r w:rsidR="00E3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</w:t>
      </w:r>
      <w:r w:rsidR="00BA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(53,4 %)</w:t>
      </w:r>
      <w:r w:rsidR="00110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7A" w:rsidRDefault="00454A55" w:rsidP="002F60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E3487A" w:rsidRDefault="00E3487A" w:rsidP="002F60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7522" w:rsidRPr="00B27522" w:rsidRDefault="00B27522" w:rsidP="002F60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953" w:rsidRPr="00147953" w:rsidRDefault="00147953" w:rsidP="002F60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2D2" w:rsidRDefault="008472D2" w:rsidP="002F6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8472D2" w:rsidSect="006073F3">
      <w:headerReference w:type="default" r:id="rId15"/>
      <w:pgSz w:w="11906" w:h="16838"/>
      <w:pgMar w:top="1134" w:right="567" w:bottom="709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46" w:rsidRDefault="00707146" w:rsidP="009E5A96">
      <w:pPr>
        <w:spacing w:after="0" w:line="240" w:lineRule="auto"/>
      </w:pPr>
      <w:r>
        <w:separator/>
      </w:r>
    </w:p>
  </w:endnote>
  <w:endnote w:type="continuationSeparator" w:id="0">
    <w:p w:rsidR="00707146" w:rsidRDefault="00707146" w:rsidP="009E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46" w:rsidRDefault="00707146" w:rsidP="009E5A96">
      <w:pPr>
        <w:spacing w:after="0" w:line="240" w:lineRule="auto"/>
      </w:pPr>
      <w:r>
        <w:separator/>
      </w:r>
    </w:p>
  </w:footnote>
  <w:footnote w:type="continuationSeparator" w:id="0">
    <w:p w:rsidR="00707146" w:rsidRDefault="00707146" w:rsidP="009E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483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5A96" w:rsidRPr="009E5A96" w:rsidRDefault="009E5A96">
        <w:pPr>
          <w:pStyle w:val="a7"/>
          <w:jc w:val="right"/>
          <w:rPr>
            <w:rFonts w:ascii="Times New Roman" w:hAnsi="Times New Roman" w:cs="Times New Roman"/>
          </w:rPr>
        </w:pPr>
        <w:r w:rsidRPr="009E5A96">
          <w:rPr>
            <w:rFonts w:ascii="Times New Roman" w:hAnsi="Times New Roman" w:cs="Times New Roman"/>
          </w:rPr>
          <w:fldChar w:fldCharType="begin"/>
        </w:r>
        <w:r w:rsidRPr="009E5A96">
          <w:rPr>
            <w:rFonts w:ascii="Times New Roman" w:hAnsi="Times New Roman" w:cs="Times New Roman"/>
          </w:rPr>
          <w:instrText>PAGE   \* MERGEFORMAT</w:instrText>
        </w:r>
        <w:r w:rsidRPr="009E5A96">
          <w:rPr>
            <w:rFonts w:ascii="Times New Roman" w:hAnsi="Times New Roman" w:cs="Times New Roman"/>
          </w:rPr>
          <w:fldChar w:fldCharType="separate"/>
        </w:r>
        <w:r w:rsidR="00707146">
          <w:rPr>
            <w:rFonts w:ascii="Times New Roman" w:hAnsi="Times New Roman" w:cs="Times New Roman"/>
            <w:noProof/>
          </w:rPr>
          <w:t>3</w:t>
        </w:r>
        <w:r w:rsidRPr="009E5A96">
          <w:rPr>
            <w:rFonts w:ascii="Times New Roman" w:hAnsi="Times New Roman" w:cs="Times New Roman"/>
          </w:rPr>
          <w:fldChar w:fldCharType="end"/>
        </w:r>
      </w:p>
    </w:sdtContent>
  </w:sdt>
  <w:p w:rsidR="009E5A96" w:rsidRDefault="009E5A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910"/>
    <w:multiLevelType w:val="hybridMultilevel"/>
    <w:tmpl w:val="5086A1C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10A7058"/>
    <w:multiLevelType w:val="hybridMultilevel"/>
    <w:tmpl w:val="47B20B96"/>
    <w:lvl w:ilvl="0" w:tplc="895E6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F1F21"/>
    <w:multiLevelType w:val="hybridMultilevel"/>
    <w:tmpl w:val="7A36D38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40A54B6F"/>
    <w:multiLevelType w:val="hybridMultilevel"/>
    <w:tmpl w:val="5086A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44404F"/>
    <w:multiLevelType w:val="hybridMultilevel"/>
    <w:tmpl w:val="B7D4B2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43BA6973"/>
    <w:multiLevelType w:val="hybridMultilevel"/>
    <w:tmpl w:val="9C26F3BE"/>
    <w:lvl w:ilvl="0" w:tplc="FB24459A">
      <w:start w:val="1"/>
      <w:numFmt w:val="decimal"/>
      <w:lvlText w:val="%1."/>
      <w:lvlJc w:val="left"/>
      <w:pPr>
        <w:ind w:left="1759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9563FA"/>
    <w:multiLevelType w:val="hybridMultilevel"/>
    <w:tmpl w:val="5086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D2896"/>
    <w:multiLevelType w:val="hybridMultilevel"/>
    <w:tmpl w:val="5086A1C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73D616C7"/>
    <w:multiLevelType w:val="hybridMultilevel"/>
    <w:tmpl w:val="B7D4B2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760C7B83"/>
    <w:multiLevelType w:val="hybridMultilevel"/>
    <w:tmpl w:val="5086A1C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C1"/>
    <w:rsid w:val="00003206"/>
    <w:rsid w:val="00022AE8"/>
    <w:rsid w:val="00026BE5"/>
    <w:rsid w:val="00030EBB"/>
    <w:rsid w:val="00037A32"/>
    <w:rsid w:val="000579E8"/>
    <w:rsid w:val="00094B82"/>
    <w:rsid w:val="000A3B65"/>
    <w:rsid w:val="000A677B"/>
    <w:rsid w:val="000D17B3"/>
    <w:rsid w:val="00110EF1"/>
    <w:rsid w:val="00112516"/>
    <w:rsid w:val="001202F9"/>
    <w:rsid w:val="00147953"/>
    <w:rsid w:val="00166892"/>
    <w:rsid w:val="001918AC"/>
    <w:rsid w:val="001A00A9"/>
    <w:rsid w:val="001C0395"/>
    <w:rsid w:val="001C475D"/>
    <w:rsid w:val="00202DE7"/>
    <w:rsid w:val="00253FDD"/>
    <w:rsid w:val="00254465"/>
    <w:rsid w:val="002861DF"/>
    <w:rsid w:val="002A1063"/>
    <w:rsid w:val="002A2DAD"/>
    <w:rsid w:val="002B1A1F"/>
    <w:rsid w:val="002D5B34"/>
    <w:rsid w:val="002D6D67"/>
    <w:rsid w:val="002F300F"/>
    <w:rsid w:val="002F5EE7"/>
    <w:rsid w:val="002F60E1"/>
    <w:rsid w:val="002F6629"/>
    <w:rsid w:val="00307F72"/>
    <w:rsid w:val="00312B00"/>
    <w:rsid w:val="00320DA2"/>
    <w:rsid w:val="00327170"/>
    <w:rsid w:val="00374C35"/>
    <w:rsid w:val="00387538"/>
    <w:rsid w:val="003A09D8"/>
    <w:rsid w:val="003B3D87"/>
    <w:rsid w:val="003B6563"/>
    <w:rsid w:val="003E2335"/>
    <w:rsid w:val="00404966"/>
    <w:rsid w:val="00412632"/>
    <w:rsid w:val="00417D7C"/>
    <w:rsid w:val="0042131F"/>
    <w:rsid w:val="00425246"/>
    <w:rsid w:val="00454A55"/>
    <w:rsid w:val="00463A9B"/>
    <w:rsid w:val="00467A71"/>
    <w:rsid w:val="00470D3F"/>
    <w:rsid w:val="00475F53"/>
    <w:rsid w:val="00497F3F"/>
    <w:rsid w:val="004A6D41"/>
    <w:rsid w:val="004C6397"/>
    <w:rsid w:val="004F60A7"/>
    <w:rsid w:val="005250EF"/>
    <w:rsid w:val="00551FB7"/>
    <w:rsid w:val="00553979"/>
    <w:rsid w:val="00554320"/>
    <w:rsid w:val="005658C8"/>
    <w:rsid w:val="00566D98"/>
    <w:rsid w:val="00586442"/>
    <w:rsid w:val="005B609F"/>
    <w:rsid w:val="005C5974"/>
    <w:rsid w:val="005E41E0"/>
    <w:rsid w:val="00601904"/>
    <w:rsid w:val="006073F3"/>
    <w:rsid w:val="00661B52"/>
    <w:rsid w:val="00665A92"/>
    <w:rsid w:val="006A6376"/>
    <w:rsid w:val="006A7AE4"/>
    <w:rsid w:val="006B2A43"/>
    <w:rsid w:val="006B4088"/>
    <w:rsid w:val="006D1D0D"/>
    <w:rsid w:val="00704E0C"/>
    <w:rsid w:val="00707146"/>
    <w:rsid w:val="00711DFE"/>
    <w:rsid w:val="00715031"/>
    <w:rsid w:val="007250C1"/>
    <w:rsid w:val="00742514"/>
    <w:rsid w:val="00743E1D"/>
    <w:rsid w:val="00744D26"/>
    <w:rsid w:val="007753A5"/>
    <w:rsid w:val="00780276"/>
    <w:rsid w:val="00786602"/>
    <w:rsid w:val="007A460B"/>
    <w:rsid w:val="007B6908"/>
    <w:rsid w:val="007D0998"/>
    <w:rsid w:val="007E4D17"/>
    <w:rsid w:val="00801F43"/>
    <w:rsid w:val="00825F67"/>
    <w:rsid w:val="008472D2"/>
    <w:rsid w:val="00882D37"/>
    <w:rsid w:val="008C3622"/>
    <w:rsid w:val="008C7786"/>
    <w:rsid w:val="008D2F7F"/>
    <w:rsid w:val="008E4EAA"/>
    <w:rsid w:val="008E666A"/>
    <w:rsid w:val="00914E40"/>
    <w:rsid w:val="00916265"/>
    <w:rsid w:val="00920889"/>
    <w:rsid w:val="00923527"/>
    <w:rsid w:val="00960775"/>
    <w:rsid w:val="00971BD1"/>
    <w:rsid w:val="0097285D"/>
    <w:rsid w:val="0099048C"/>
    <w:rsid w:val="00991C1D"/>
    <w:rsid w:val="009D07EA"/>
    <w:rsid w:val="009E5A96"/>
    <w:rsid w:val="00A050E6"/>
    <w:rsid w:val="00A34B44"/>
    <w:rsid w:val="00A56D12"/>
    <w:rsid w:val="00A772FD"/>
    <w:rsid w:val="00A91FAF"/>
    <w:rsid w:val="00AA11B1"/>
    <w:rsid w:val="00AC774F"/>
    <w:rsid w:val="00B06F3B"/>
    <w:rsid w:val="00B27522"/>
    <w:rsid w:val="00B5353D"/>
    <w:rsid w:val="00B60E22"/>
    <w:rsid w:val="00B71066"/>
    <w:rsid w:val="00B9600C"/>
    <w:rsid w:val="00BA7AA0"/>
    <w:rsid w:val="00BA7DF9"/>
    <w:rsid w:val="00BD2CC8"/>
    <w:rsid w:val="00BD738B"/>
    <w:rsid w:val="00C01C69"/>
    <w:rsid w:val="00C1467B"/>
    <w:rsid w:val="00C25403"/>
    <w:rsid w:val="00C30D09"/>
    <w:rsid w:val="00C41D24"/>
    <w:rsid w:val="00C510B7"/>
    <w:rsid w:val="00C91D19"/>
    <w:rsid w:val="00CB315E"/>
    <w:rsid w:val="00CE009A"/>
    <w:rsid w:val="00D42ADB"/>
    <w:rsid w:val="00D51EC5"/>
    <w:rsid w:val="00D52E4D"/>
    <w:rsid w:val="00D635A7"/>
    <w:rsid w:val="00D71894"/>
    <w:rsid w:val="00D741D4"/>
    <w:rsid w:val="00DB6160"/>
    <w:rsid w:val="00DC6CCB"/>
    <w:rsid w:val="00DD0DE4"/>
    <w:rsid w:val="00DD4000"/>
    <w:rsid w:val="00DE6A8B"/>
    <w:rsid w:val="00E1421C"/>
    <w:rsid w:val="00E2350E"/>
    <w:rsid w:val="00E3487A"/>
    <w:rsid w:val="00E50D74"/>
    <w:rsid w:val="00E52D92"/>
    <w:rsid w:val="00E60321"/>
    <w:rsid w:val="00E803E0"/>
    <w:rsid w:val="00E85046"/>
    <w:rsid w:val="00EF05C3"/>
    <w:rsid w:val="00EF510F"/>
    <w:rsid w:val="00F02C52"/>
    <w:rsid w:val="00F53F1C"/>
    <w:rsid w:val="00F74095"/>
    <w:rsid w:val="00F744D6"/>
    <w:rsid w:val="00F75011"/>
    <w:rsid w:val="00F9168D"/>
    <w:rsid w:val="00FA5D9B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53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3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A96"/>
  </w:style>
  <w:style w:type="paragraph" w:styleId="a9">
    <w:name w:val="footer"/>
    <w:basedOn w:val="a"/>
    <w:link w:val="aa"/>
    <w:uiPriority w:val="99"/>
    <w:unhideWhenUsed/>
    <w:rsid w:val="009E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53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3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A96"/>
  </w:style>
  <w:style w:type="paragraph" w:styleId="a9">
    <w:name w:val="footer"/>
    <w:basedOn w:val="a"/>
    <w:link w:val="aa"/>
    <w:uiPriority w:val="99"/>
    <w:unhideWhenUsed/>
    <w:rsid w:val="009E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0%D1%81%D0%BB%D0%BE%D1%83,_%D0%90%D0%B1%D1%80%D0%B0%D1%85%D0%B0%D0%BC_%D0%A5%D0%B0%D1%80%D0%BE%D0%BB%D1%8C%D0%B4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82629244208795"/>
          <c:y val="8.8916438636659795E-2"/>
          <c:w val="0.88772014051007442"/>
          <c:h val="0.49796739946513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 cmpd="sng">
              <a:solidFill>
                <a:schemeClr val="accent1"/>
              </a:solidFill>
            </a:ln>
            <a:effectLst>
              <a:softEdge rad="0"/>
            </a:effectLst>
          </c:spPr>
          <c:invertIfNegative val="0"/>
          <c:dLbls>
            <c:spPr>
              <a:noFill/>
              <a:ln w="253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Лист1!$A$2:$A$22</c:f>
              <c:strCache>
                <c:ptCount val="21"/>
                <c:pt idx="0">
                  <c:v>Экстремистские орг.</c:v>
                </c:pt>
                <c:pt idx="2">
                  <c:v> Терроризм</c:v>
                </c:pt>
                <c:pt idx="4">
                  <c:v>Трудовые мигранты</c:v>
                </c:pt>
                <c:pt idx="6">
                  <c:v>Мировой финансовый кризис</c:v>
                </c:pt>
                <c:pt idx="8">
                  <c:v>Природные катаклизмы</c:v>
                </c:pt>
                <c:pt idx="10">
                  <c:v>Риск безработицы</c:v>
                </c:pt>
                <c:pt idx="12">
                  <c:v> Деятельность религ. сект</c:v>
                </c:pt>
                <c:pt idx="14">
                  <c:v>Несчастный случай</c:v>
                </c:pt>
                <c:pt idx="16">
                  <c:v>Техногенные катастрофы</c:v>
                </c:pt>
                <c:pt idx="18">
                  <c:v>Потеря здоровья</c:v>
                </c:pt>
                <c:pt idx="20">
                  <c:v> Низкий доход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 formatCode="0.0%">
                  <c:v>4.9000000000000002E-2</c:v>
                </c:pt>
                <c:pt idx="2" formatCode="0.0%">
                  <c:v>0.128</c:v>
                </c:pt>
                <c:pt idx="4" formatCode="0.0%">
                  <c:v>0.11799999999999999</c:v>
                </c:pt>
                <c:pt idx="6" formatCode="0.0%">
                  <c:v>0.11600000000000001</c:v>
                </c:pt>
                <c:pt idx="8" formatCode="0.0%">
                  <c:v>7.0000000000000007E-2</c:v>
                </c:pt>
                <c:pt idx="10" formatCode="0.0%">
                  <c:v>0.10299999999999999</c:v>
                </c:pt>
                <c:pt idx="12" formatCode="0.0%">
                  <c:v>3.5000000000000003E-2</c:v>
                </c:pt>
                <c:pt idx="14" formatCode="0.0%">
                  <c:v>6.4000000000000001E-2</c:v>
                </c:pt>
                <c:pt idx="16" formatCode="0.0%">
                  <c:v>0.05</c:v>
                </c:pt>
                <c:pt idx="18" formatCode="0.0%">
                  <c:v>0.154</c:v>
                </c:pt>
                <c:pt idx="20" formatCode="0.0%">
                  <c:v>0.109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27"/>
        <c:axId val="51343360"/>
        <c:axId val="51344896"/>
      </c:barChart>
      <c:catAx>
        <c:axId val="5134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44896"/>
        <c:crosses val="autoZero"/>
        <c:auto val="1"/>
        <c:lblAlgn val="ctr"/>
        <c:lblOffset val="100"/>
        <c:noMultiLvlLbl val="0"/>
      </c:catAx>
      <c:valAx>
        <c:axId val="51344896"/>
        <c:scaling>
          <c:orientation val="minMax"/>
        </c:scaling>
        <c:delete val="1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crossAx val="51343360"/>
        <c:crosses val="autoZero"/>
        <c:crossBetween val="between"/>
      </c:valAx>
      <c:spPr>
        <a:noFill/>
        <a:ln w="25381">
          <a:noFill/>
        </a:ln>
      </c:spPr>
    </c:plotArea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499999999999994E-2"/>
          <c:y val="0.12731481481481483"/>
          <c:w val="0.81388888888888888"/>
          <c:h val="0.77314814814814814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CC66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0399278215223097"/>
                  <c:y val="0.134107976086322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0686111111111111"/>
                  <c:y val="-0.2040923009623797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3903094925634297"/>
                  <c:y val="-0.231316710411198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435312773403324"/>
                  <c:y val="0.11111111111111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17.600000000000001</c:v>
                </c:pt>
                <c:pt idx="1">
                  <c:v>32.200000000000003</c:v>
                </c:pt>
                <c:pt idx="2">
                  <c:v>26.6</c:v>
                </c:pt>
                <c:pt idx="3">
                  <c:v>16.100000000000001</c:v>
                </c:pt>
                <c:pt idx="4">
                  <c:v>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Оценка деятельности </c:v>
                </c:pt>
              </c:strCache>
            </c:strRef>
          </c:tx>
          <c:spPr>
            <a:solidFill>
              <a:srgbClr val="3399FF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Лист2!$A$3:$A$8</c:f>
              <c:strCache>
                <c:ptCount val="6"/>
                <c:pt idx="0">
                  <c:v>Затрудняюсь ответить</c:v>
                </c:pt>
                <c:pt idx="1">
                  <c:v>Ничего не знаю о их деятельности</c:v>
                </c:pt>
                <c:pt idx="2">
                  <c:v>Безусловно отрицательно</c:v>
                </c:pt>
                <c:pt idx="3">
                  <c:v>Скорее отрицательно</c:v>
                </c:pt>
                <c:pt idx="4">
                  <c:v>Скорее положительно</c:v>
                </c:pt>
                <c:pt idx="5">
                  <c:v>Безусловно положительно</c:v>
                </c:pt>
              </c:strCache>
            </c:strRef>
          </c:cat>
          <c:val>
            <c:numRef>
              <c:f>Лист2!$B$3:$B$8</c:f>
              <c:numCache>
                <c:formatCode>0.0</c:formatCode>
                <c:ptCount val="6"/>
                <c:pt idx="0">
                  <c:v>12.8</c:v>
                </c:pt>
                <c:pt idx="1">
                  <c:v>24.6</c:v>
                </c:pt>
                <c:pt idx="2">
                  <c:v>10.7</c:v>
                </c:pt>
                <c:pt idx="3">
                  <c:v>24</c:v>
                </c:pt>
                <c:pt idx="4">
                  <c:v>23</c:v>
                </c:pt>
                <c:pt idx="5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Оценка эффективности мер</c:v>
                </c:pt>
              </c:strCache>
            </c:strRef>
          </c:tx>
          <c:spPr>
            <a:solidFill>
              <a:srgbClr val="FF9933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Лист2!$A$3:$A$8</c:f>
              <c:strCache>
                <c:ptCount val="6"/>
                <c:pt idx="0">
                  <c:v>Затрудняюсь ответить</c:v>
                </c:pt>
                <c:pt idx="1">
                  <c:v>Ничего не знаю о их деятельности</c:v>
                </c:pt>
                <c:pt idx="2">
                  <c:v>Безусловно отрицательно</c:v>
                </c:pt>
                <c:pt idx="3">
                  <c:v>Скорее отрицательно</c:v>
                </c:pt>
                <c:pt idx="4">
                  <c:v>Скорее положительно</c:v>
                </c:pt>
                <c:pt idx="5">
                  <c:v>Безусловно положительно</c:v>
                </c:pt>
              </c:strCache>
            </c:strRef>
          </c:cat>
          <c:val>
            <c:numRef>
              <c:f>Лист2!$C$3:$C$8</c:f>
              <c:numCache>
                <c:formatCode>0.0</c:formatCode>
                <c:ptCount val="6"/>
                <c:pt idx="0">
                  <c:v>11.8</c:v>
                </c:pt>
                <c:pt idx="1">
                  <c:v>23.3</c:v>
                </c:pt>
                <c:pt idx="2">
                  <c:v>13.6</c:v>
                </c:pt>
                <c:pt idx="3">
                  <c:v>20.7</c:v>
                </c:pt>
                <c:pt idx="4">
                  <c:v>25.8</c:v>
                </c:pt>
                <c:pt idx="5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50202496"/>
        <c:axId val="50204032"/>
      </c:barChart>
      <c:catAx>
        <c:axId val="502024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204032"/>
        <c:crosses val="autoZero"/>
        <c:auto val="1"/>
        <c:lblAlgn val="ctr"/>
        <c:lblOffset val="100"/>
        <c:noMultiLvlLbl val="0"/>
      </c:catAx>
      <c:valAx>
        <c:axId val="50204032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2024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accent5">
            <a:lumMod val="40000"/>
            <a:lumOff val="60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152854511970532E-2"/>
          <c:y val="3.529883228329625E-2"/>
          <c:w val="0.96758747697974212"/>
          <c:h val="0.805979475636730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Лист4!$B$2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3399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9966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CC00CC"/>
              </a:solidFill>
            </c:spPr>
          </c:dPt>
          <c:dPt>
            <c:idx val="3"/>
            <c:invertIfNegative val="0"/>
            <c:bubble3D val="0"/>
            <c:spPr>
              <a:solidFill>
                <a:srgbClr val="D60093"/>
              </a:solidFill>
            </c:spPr>
          </c:dPt>
          <c:dPt>
            <c:idx val="4"/>
            <c:invertIfNegative val="0"/>
            <c:bubble3D val="0"/>
            <c:spPr>
              <a:solidFill>
                <a:srgbClr val="33CCFF"/>
              </a:solidFill>
            </c:spPr>
          </c:dPt>
          <c:dLbls>
            <c:dLbl>
              <c:idx val="0"/>
              <c:layout>
                <c:manualLayout>
                  <c:x val="1.3751165996336806E-2"/>
                  <c:y val="-2.0636350407692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335372646764471E-3"/>
                  <c:y val="-2.154955628872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24603938896127E-2"/>
                  <c:y val="-2.1549556288726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11085934402085E-2"/>
                  <c:y val="-2.827203520697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932948129686E-2"/>
                  <c:y val="-2.0167160109529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Лист4!$A$3:$A$7</c:f>
              <c:strCache>
                <c:ptCount val="5"/>
                <c:pt idx="0">
                  <c:v>Безусловно защищенный</c:v>
                </c:pt>
                <c:pt idx="1">
                  <c:v>Скорее защищенный, чем незащищенный</c:v>
                </c:pt>
                <c:pt idx="2">
                  <c:v>Скорее незащищенный, чем защищенный</c:v>
                </c:pt>
                <c:pt idx="3">
                  <c:v>Безусловно незащищенным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Лист4!$B$3:$B$7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33.799999999999997</c:v>
                </c:pt>
                <c:pt idx="2">
                  <c:v>34.5</c:v>
                </c:pt>
                <c:pt idx="3">
                  <c:v>18.899999999999999</c:v>
                </c:pt>
                <c:pt idx="4">
                  <c:v>8.6999999999999993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255744"/>
        <c:axId val="50257280"/>
        <c:axId val="0"/>
      </c:bar3DChart>
      <c:catAx>
        <c:axId val="50255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257280"/>
        <c:crosses val="autoZero"/>
        <c:auto val="1"/>
        <c:lblAlgn val="ctr"/>
        <c:lblOffset val="100"/>
        <c:tickLblSkip val="1"/>
        <c:noMultiLvlLbl val="0"/>
      </c:catAx>
      <c:valAx>
        <c:axId val="50257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0255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248731566782"/>
          <c:y val="4.6296296296296294E-2"/>
          <c:w val="0.63525635846435224"/>
          <c:h val="0.8981481481481481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Лист3!$B$2</c:f>
              <c:strCache>
                <c:ptCount val="1"/>
                <c:pt idx="0">
                  <c:v>до 29 лет</c:v>
                </c:pt>
              </c:strCache>
            </c:strRef>
          </c:tx>
          <c:spPr>
            <a:solidFill>
              <a:srgbClr val="CC3399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3399FF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Мужской</a:t>
                    </a:r>
                  </a:p>
                  <a:p>
                    <a:r>
                      <a:rPr lang="en-US"/>
                      <a:t>37,9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до 29 лет</a:t>
                    </a:r>
                  </a:p>
                  <a:p>
                    <a:r>
                      <a:rPr lang="en-US"/>
                      <a:t>17,1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Лист3!$A$3:$A$4</c:f>
              <c:strCache>
                <c:ptCount val="2"/>
                <c:pt idx="0">
                  <c:v>Пол респондентов</c:v>
                </c:pt>
                <c:pt idx="1">
                  <c:v>Возраст респондентов</c:v>
                </c:pt>
              </c:strCache>
            </c:strRef>
          </c:cat>
          <c:val>
            <c:numRef>
              <c:f>Лист3!$B$3:$B$4</c:f>
              <c:numCache>
                <c:formatCode>General</c:formatCode>
                <c:ptCount val="2"/>
                <c:pt idx="0">
                  <c:v>37.9</c:v>
                </c:pt>
                <c:pt idx="1">
                  <c:v>17.100000000000001</c:v>
                </c:pt>
              </c:numCache>
            </c:numRef>
          </c:val>
        </c:ser>
        <c:ser>
          <c:idx val="1"/>
          <c:order val="1"/>
          <c:tx>
            <c:strRef>
              <c:f>Лист3!$C$2</c:f>
              <c:strCache>
                <c:ptCount val="1"/>
                <c:pt idx="0">
                  <c:v>30-39 лет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66CC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Женский</a:t>
                    </a:r>
                  </a:p>
                  <a:p>
                    <a:r>
                      <a:rPr lang="en-US"/>
                      <a:t>62,1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30-39 лет</a:t>
                    </a:r>
                  </a:p>
                  <a:p>
                    <a:r>
                      <a:rPr lang="en-US"/>
                      <a:t>28,1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Лист3!$A$3:$A$4</c:f>
              <c:strCache>
                <c:ptCount val="2"/>
                <c:pt idx="0">
                  <c:v>Пол респондентов</c:v>
                </c:pt>
                <c:pt idx="1">
                  <c:v>Возраст респондентов</c:v>
                </c:pt>
              </c:strCache>
            </c:strRef>
          </c:cat>
          <c:val>
            <c:numRef>
              <c:f>Лист3!$C$3:$C$4</c:f>
              <c:numCache>
                <c:formatCode>General</c:formatCode>
                <c:ptCount val="2"/>
                <c:pt idx="0">
                  <c:v>62.1</c:v>
                </c:pt>
                <c:pt idx="1">
                  <c:v>28.1</c:v>
                </c:pt>
              </c:numCache>
            </c:numRef>
          </c:val>
        </c:ser>
        <c:ser>
          <c:idx val="2"/>
          <c:order val="2"/>
          <c:tx>
            <c:strRef>
              <c:f>Лист3!$D$2</c:f>
              <c:strCache>
                <c:ptCount val="1"/>
                <c:pt idx="0">
                  <c:v>40-49 лет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40-49 лет</a:t>
                    </a:r>
                  </a:p>
                  <a:p>
                    <a:r>
                      <a:rPr lang="en-US"/>
                      <a:t>24,6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Лист3!$A$3:$A$4</c:f>
              <c:strCache>
                <c:ptCount val="2"/>
                <c:pt idx="0">
                  <c:v>Пол респондентов</c:v>
                </c:pt>
                <c:pt idx="1">
                  <c:v>Возраст респондентов</c:v>
                </c:pt>
              </c:strCache>
            </c:strRef>
          </c:cat>
          <c:val>
            <c:numRef>
              <c:f>Лист3!$D$3:$D$4</c:f>
              <c:numCache>
                <c:formatCode>General</c:formatCode>
                <c:ptCount val="2"/>
                <c:pt idx="1">
                  <c:v>24.6</c:v>
                </c:pt>
              </c:numCache>
            </c:numRef>
          </c:val>
        </c:ser>
        <c:ser>
          <c:idx val="3"/>
          <c:order val="3"/>
          <c:tx>
            <c:strRef>
              <c:f>Лист3!$E$2</c:f>
              <c:strCache>
                <c:ptCount val="1"/>
                <c:pt idx="0">
                  <c:v>50-59 лет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50-59 лет</a:t>
                    </a:r>
                  </a:p>
                  <a:p>
                    <a:r>
                      <a:rPr lang="en-US"/>
                      <a:t>19,7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Лист3!$A$3:$A$4</c:f>
              <c:strCache>
                <c:ptCount val="2"/>
                <c:pt idx="0">
                  <c:v>Пол респондентов</c:v>
                </c:pt>
                <c:pt idx="1">
                  <c:v>Возраст респондентов</c:v>
                </c:pt>
              </c:strCache>
            </c:strRef>
          </c:cat>
          <c:val>
            <c:numRef>
              <c:f>Лист3!$E$3:$E$4</c:f>
              <c:numCache>
                <c:formatCode>General</c:formatCode>
                <c:ptCount val="2"/>
                <c:pt idx="1">
                  <c:v>19.7</c:v>
                </c:pt>
              </c:numCache>
            </c:numRef>
          </c:val>
        </c:ser>
        <c:ser>
          <c:idx val="4"/>
          <c:order val="4"/>
          <c:tx>
            <c:strRef>
              <c:f>Лист3!$F$2</c:f>
              <c:strCache>
                <c:ptCount val="1"/>
                <c:pt idx="0">
                  <c:v>60 лет и старше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5.11316951228237E-2"/>
                  <c:y val="-5.22980597353849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 лет и старше</a:t>
                    </a:r>
                  </a:p>
                  <a:p>
                    <a:r>
                      <a:rPr lang="en-US"/>
                      <a:t>10,5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Лист3!$A$3:$A$4</c:f>
              <c:strCache>
                <c:ptCount val="2"/>
                <c:pt idx="0">
                  <c:v>Пол респондентов</c:v>
                </c:pt>
                <c:pt idx="1">
                  <c:v>Возраст респондентов</c:v>
                </c:pt>
              </c:strCache>
            </c:strRef>
          </c:cat>
          <c:val>
            <c:numRef>
              <c:f>Лист3!$F$3:$F$4</c:f>
              <c:numCache>
                <c:formatCode>General</c:formatCode>
                <c:ptCount val="2"/>
                <c:pt idx="1">
                  <c:v>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249920"/>
        <c:axId val="51251456"/>
        <c:axId val="0"/>
      </c:bar3DChart>
      <c:catAx>
        <c:axId val="51249920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1251456"/>
        <c:crosses val="autoZero"/>
        <c:auto val="1"/>
        <c:lblAlgn val="ctr"/>
        <c:lblOffset val="100"/>
        <c:noMultiLvlLbl val="0"/>
      </c:catAx>
      <c:valAx>
        <c:axId val="51251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1249920"/>
        <c:crosses val="autoZero"/>
        <c:crossBetween val="between"/>
      </c:valAx>
      <c:spPr>
        <a:noFill/>
        <a:ln w="25400">
          <a:solidFill>
            <a:schemeClr val="bg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8793-3B98-49D5-8CEB-0C4C5281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Аржанова Анастасия Григорьевна</dc:creator>
  <cp:keywords/>
  <dc:description/>
  <cp:lastModifiedBy>Яковлева Елена Леонидовна</cp:lastModifiedBy>
  <cp:revision>38</cp:revision>
  <dcterms:created xsi:type="dcterms:W3CDTF">2015-03-26T01:05:00Z</dcterms:created>
  <dcterms:modified xsi:type="dcterms:W3CDTF">2015-08-05T21:24:00Z</dcterms:modified>
</cp:coreProperties>
</file>