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часть 19 приложения к постановлению Правительства Камчатского края от 29.04.2022 № 227-П «Об утверждении Порядка определения объема и предоставления в 2023 году из краевого бюджета субсидии автономной некоммерческо</w:t>
            </w:r>
            <w:r>
              <w:rPr>
                <w:rFonts w:ascii="Times New Roman" w:hAnsi="Times New Roman"/>
                <w:b w:val="1"/>
                <w:sz w:val="28"/>
              </w:rPr>
              <w:t>й организации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Камчатский центр </w:t>
            </w:r>
            <w:r>
              <w:rPr>
                <w:rFonts w:ascii="Times New Roman" w:hAnsi="Times New Roman"/>
                <w:b w:val="1"/>
                <w:sz w:val="28"/>
              </w:rPr>
              <w:t>реализации молодежных проектов «Экосистема»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</w:t>
            </w:r>
            <w:r>
              <w:rPr>
                <w:rFonts w:ascii="Times New Roman" w:hAnsi="Times New Roman"/>
                <w:b w:val="1"/>
                <w:sz w:val="28"/>
              </w:rPr>
              <w:t>тание молодежи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часть 19 приложения к постановлению Правительства Камчатского края от 29.04.2022 № 227-П «</w:t>
      </w:r>
      <w:r>
        <w:rPr>
          <w:rFonts w:ascii="Times New Roman" w:hAnsi="Times New Roman"/>
          <w:sz w:val="28"/>
        </w:rPr>
        <w:t xml:space="preserve">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» изменения, заменив </w:t>
      </w:r>
      <w:r>
        <w:rPr>
          <w:rFonts w:ascii="Times New Roman" w:hAnsi="Times New Roman"/>
          <w:sz w:val="28"/>
        </w:rPr>
        <w:t>цифры «</w:t>
      </w:r>
      <w:r>
        <w:rPr>
          <w:rFonts w:ascii="Times New Roman" w:hAnsi="Times New Roman"/>
          <w:sz w:val="28"/>
        </w:rPr>
        <w:t>92 068 006,18</w:t>
      </w:r>
      <w:r>
        <w:rPr>
          <w:rFonts w:ascii="Times New Roman" w:hAnsi="Times New Roman"/>
          <w:color w:themeColor="dark1" w:val="000000"/>
          <w:sz w:val="28"/>
        </w:rPr>
        <w:t>» цифра</w:t>
      </w:r>
      <w:r>
        <w:rPr>
          <w:rFonts w:ascii="Times New Roman" w:hAnsi="Times New Roman"/>
          <w:sz w:val="28"/>
        </w:rPr>
        <w:t xml:space="preserve">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105 515 757,00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цифры «</w:t>
      </w:r>
      <w:r>
        <w:rPr>
          <w:rFonts w:ascii="Times New Roman" w:hAnsi="Times New Roman"/>
          <w:sz w:val="28"/>
        </w:rPr>
        <w:t>15 210 106,16</w:t>
      </w:r>
      <w:r>
        <w:rPr>
          <w:rFonts w:ascii="Times New Roman" w:hAnsi="Times New Roman"/>
          <w:sz w:val="28"/>
        </w:rPr>
        <w:t xml:space="preserve">» цифрами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28 657 856,98</w:t>
      </w:r>
      <w:r>
        <w:rPr>
          <w:rFonts w:ascii="Times New Roman" w:hAnsi="Times New Roman"/>
          <w:sz w:val="28"/>
        </w:rPr>
        <w:t>».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2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9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C000000"/>
    <w:sectPr>
      <w:pgSz w:h="16848" w:orient="portrait" w:w="11908"/>
      <w:pgMar w:bottom="567" w:footer="709" w:gutter="0" w:header="709" w:left="1417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3_ch"/>
    <w:link w:val="Style_12"/>
    <w:rPr>
      <w:rFonts w:ascii="Times New Roman" w:hAnsi="Times New Roman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Гиперссылка1"/>
    <w:basedOn w:val="Style_10"/>
    <w:link w:val="Style_23_ch"/>
    <w:rPr>
      <w:color w:themeColor="hyperlink" w:val="0563C1"/>
      <w:u w:val="single"/>
    </w:rPr>
  </w:style>
  <w:style w:styleId="Style_23_ch" w:type="character">
    <w:name w:val="Гиперссылка1"/>
    <w:basedOn w:val="Style_10_ch"/>
    <w:link w:val="Style_23"/>
    <w:rPr>
      <w:color w:themeColor="hyperlink" w:val="0563C1"/>
      <w:u w:val="single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Plain Text"/>
    <w:basedOn w:val="Style_3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Plain Text"/>
    <w:basedOn w:val="Style_3_ch"/>
    <w:link w:val="Style_27"/>
    <w:rPr>
      <w:rFonts w:ascii="Calibri" w:hAnsi="Calibri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Balloon Text"/>
    <w:basedOn w:val="Style_3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3_ch"/>
    <w:link w:val="Style_30"/>
    <w:rPr>
      <w:rFonts w:ascii="Segoe UI" w:hAnsi="Segoe UI"/>
      <w:sz w:val="18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2023-11-27T03:35:41Z</dcterms:modified>
</cp:coreProperties>
</file>