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Объявление</w:t>
      </w:r>
    </w:p>
    <w:p>
      <w:pPr>
        <w:pStyle w:val="Normal"/>
        <w:jc w:val="center"/>
        <w:rPr>
          <w:rFonts w:eastAsia="Calibri"/>
          <w:szCs w:val="28"/>
          <w:lang w:eastAsia="en-US"/>
        </w:rPr>
      </w:pPr>
      <w:r>
        <w:rPr>
          <w:szCs w:val="28"/>
        </w:rPr>
        <w:t xml:space="preserve">о проведении отбора получателей </w:t>
      </w:r>
      <w:r>
        <w:rPr>
          <w:spacing w:val="4"/>
          <w:szCs w:val="28"/>
        </w:rPr>
        <w:t xml:space="preserve">из краевого бюджета </w:t>
      </w:r>
      <w:r>
        <w:rPr>
          <w:rFonts w:eastAsia="Calibri" w:eastAsiaTheme="minorHAnsi"/>
          <w:szCs w:val="28"/>
          <w:lang w:eastAsia="en-US"/>
        </w:rPr>
        <w:t>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населению и приравненным к нему категориям потребителей по льготным тарифам</w:t>
      </w:r>
    </w:p>
    <w:p>
      <w:pPr>
        <w:pStyle w:val="Normal"/>
        <w:jc w:val="both"/>
        <w:rPr>
          <w:rFonts w:eastAsia="Calibri"/>
          <w:szCs w:val="28"/>
          <w:lang w:eastAsia="en-US"/>
        </w:rPr>
      </w:pPr>
      <w:r>
        <w:rPr>
          <w:rFonts w:eastAsia="Calibri" w:eastAsiaTheme="minorHAnsi"/>
          <w:szCs w:val="28"/>
          <w:lang w:eastAsia="en-US"/>
        </w:rPr>
        <w:t xml:space="preserve"> </w:t>
      </w:r>
    </w:p>
    <w:p>
      <w:pPr>
        <w:pStyle w:val="Normal"/>
        <w:ind w:firstLine="709"/>
        <w:jc w:val="both"/>
        <w:rPr>
          <w:rFonts w:eastAsia="Calibri"/>
          <w:szCs w:val="28"/>
          <w:lang w:eastAsia="en-US"/>
        </w:rPr>
      </w:pPr>
      <w:r>
        <w:rPr>
          <w:szCs w:val="28"/>
        </w:rPr>
        <w:t xml:space="preserve">Министерством жилищно-коммунального хозяйства и энергетики Камчатского края (далее – Министерство) объявлен отбор получателей </w:t>
      </w:r>
      <w:r>
        <w:rPr>
          <w:spacing w:val="4"/>
          <w:szCs w:val="28"/>
        </w:rPr>
        <w:t xml:space="preserve">из краевого бюджета </w:t>
      </w:r>
      <w:r>
        <w:rPr>
          <w:rFonts w:eastAsia="Calibri" w:eastAsiaTheme="minorHAnsi"/>
          <w:szCs w:val="28"/>
          <w:lang w:eastAsia="en-US"/>
        </w:rPr>
        <w:t xml:space="preserve">субсидий </w:t>
      </w:r>
      <w:bookmarkStart w:id="0" w:name="_GoBack"/>
      <w:r>
        <w:rPr>
          <w:rFonts w:eastAsia="Calibri" w:eastAsiaTheme="minorHAnsi"/>
          <w:szCs w:val="28"/>
          <w:lang w:eastAsia="en-US"/>
        </w:rPr>
        <w:t xml:space="preserve">энергоснабжающим организациям Камчатского края в целях возмещения недополученных доходов в связи с оказанием услуг по отпуску электрической энергии населению и приравненным к нему категориям потребителей по льготным тарифам </w:t>
      </w:r>
      <w:r>
        <w:rPr>
          <w:szCs w:val="28"/>
        </w:rPr>
        <w:t>на 2024 год</w:t>
      </w:r>
      <w:bookmarkEnd w:id="0"/>
      <w:r>
        <w:rPr>
          <w:szCs w:val="28"/>
        </w:rPr>
        <w:t xml:space="preserve">, проводимый в соответствии с Порядком </w:t>
      </w:r>
      <w:r>
        <w:rPr>
          <w:rFonts w:eastAsia="Calibri" w:eastAsiaTheme="minorHAnsi"/>
          <w:szCs w:val="28"/>
          <w:lang w:eastAsia="en-US"/>
        </w:rPr>
        <w:t>предоставления из краевого бюджета субсидий энергоснабжающим организациям Камчатского края в целях возмещения недополученных доходов в связи с оказанием услуг по отпуску электрической энергии населению и приравненным к нему категориям потребителей по льготным тарифам</w:t>
      </w:r>
      <w:r>
        <w:rPr>
          <w:szCs w:val="28"/>
        </w:rPr>
        <w:t>, утвержденным постановлением Правительства Камчатского края от 01.06.2017 № 232-П  (далее – Порядок).</w:t>
      </w:r>
    </w:p>
    <w:p>
      <w:pPr>
        <w:pStyle w:val="Normal"/>
        <w:tabs>
          <w:tab w:val="clear" w:pos="708"/>
          <w:tab w:val="left" w:pos="851" w:leader="none"/>
        </w:tabs>
        <w:ind w:firstLine="709"/>
        <w:jc w:val="both"/>
        <w:rPr>
          <w:szCs w:val="28"/>
        </w:rPr>
      </w:pPr>
      <w:r>
        <w:rPr>
          <w:szCs w:val="28"/>
        </w:rPr>
      </w:r>
    </w:p>
    <w:tbl>
      <w:tblPr>
        <w:tblStyle w:val="a3"/>
        <w:tblW w:w="9781"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704"/>
        <w:gridCol w:w="2273"/>
        <w:gridCol w:w="6804"/>
      </w:tblGrid>
      <w:tr>
        <w:trPr>
          <w:tblHeader w:val="true"/>
        </w:trPr>
        <w:tc>
          <w:tcPr>
            <w:tcW w:w="704" w:type="dxa"/>
            <w:tcBorders/>
          </w:tcPr>
          <w:p>
            <w:pPr>
              <w:pStyle w:val="Normal"/>
              <w:widowControl w:val="false"/>
              <w:tabs>
                <w:tab w:val="clear" w:pos="708"/>
                <w:tab w:val="left" w:pos="851" w:leader="none"/>
              </w:tabs>
              <w:suppressAutoHyphens w:val="true"/>
              <w:spacing w:before="0" w:after="0"/>
              <w:jc w:val="center"/>
              <w:rPr>
                <w:szCs w:val="28"/>
              </w:rPr>
            </w:pPr>
            <w:r>
              <w:rPr>
                <w:kern w:val="0"/>
                <w:szCs w:val="28"/>
                <w:lang w:val="ru-RU" w:bidi="ar-SA"/>
              </w:rPr>
              <w:t>1</w:t>
            </w:r>
          </w:p>
        </w:tc>
        <w:tc>
          <w:tcPr>
            <w:tcW w:w="2273" w:type="dxa"/>
            <w:tcBorders/>
          </w:tcPr>
          <w:p>
            <w:pPr>
              <w:pStyle w:val="Normal"/>
              <w:widowControl w:val="false"/>
              <w:suppressAutoHyphens w:val="true"/>
              <w:spacing w:before="0" w:after="0"/>
              <w:jc w:val="center"/>
              <w:rPr>
                <w:szCs w:val="28"/>
              </w:rPr>
            </w:pPr>
            <w:r>
              <w:rPr>
                <w:kern w:val="0"/>
                <w:szCs w:val="28"/>
                <w:lang w:val="ru-RU" w:bidi="ar-SA"/>
              </w:rPr>
              <w:t>2</w:t>
            </w:r>
          </w:p>
        </w:tc>
        <w:tc>
          <w:tcPr>
            <w:tcW w:w="6804" w:type="dxa"/>
            <w:tcBorders/>
          </w:tcPr>
          <w:p>
            <w:pPr>
              <w:pStyle w:val="Normal"/>
              <w:widowControl w:val="false"/>
              <w:tabs>
                <w:tab w:val="clear" w:pos="708"/>
                <w:tab w:val="left" w:pos="851" w:leader="none"/>
              </w:tabs>
              <w:suppressAutoHyphens w:val="true"/>
              <w:spacing w:before="0" w:after="0"/>
              <w:jc w:val="center"/>
              <w:rPr>
                <w:szCs w:val="28"/>
              </w:rPr>
            </w:pPr>
            <w:r>
              <w:rPr>
                <w:kern w:val="0"/>
                <w:szCs w:val="28"/>
                <w:lang w:val="ru-RU" w:bidi="ar-SA"/>
              </w:rPr>
              <w:t>3</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w:t>
            </w:r>
          </w:p>
        </w:tc>
        <w:tc>
          <w:tcPr>
            <w:tcW w:w="2273" w:type="dxa"/>
            <w:tcBorders/>
          </w:tcPr>
          <w:p>
            <w:pPr>
              <w:pStyle w:val="Normal"/>
              <w:widowControl w:val="false"/>
              <w:suppressAutoHyphens w:val="true"/>
              <w:spacing w:before="0" w:after="0"/>
              <w:jc w:val="left"/>
              <w:rPr>
                <w:szCs w:val="28"/>
              </w:rPr>
            </w:pPr>
            <w:r>
              <w:rPr>
                <w:kern w:val="0"/>
                <w:szCs w:val="28"/>
                <w:lang w:val="ru-RU" w:bidi="ar-SA"/>
              </w:rPr>
              <w:t>Срок проведения отбора</w:t>
            </w:r>
          </w:p>
        </w:tc>
        <w:tc>
          <w:tcPr>
            <w:tcW w:w="68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с 27.01.2024 по 27.02.2024 (включительно);</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Дата начала подачи приема заявок </w:t>
            </w:r>
          </w:p>
        </w:tc>
        <w:tc>
          <w:tcPr>
            <w:tcW w:w="68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27.0</w:t>
            </w:r>
            <w:r>
              <w:rPr>
                <w:kern w:val="0"/>
                <w:szCs w:val="28"/>
                <w:lang w:val="ru-RU" w:bidi="ar-SA"/>
              </w:rPr>
              <w:t>1</w:t>
            </w:r>
            <w:r>
              <w:rPr>
                <w:kern w:val="0"/>
                <w:szCs w:val="28"/>
                <w:lang w:val="ru-RU" w:bidi="ar-SA"/>
              </w:rPr>
              <w:t>.2024;</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3.</w:t>
            </w:r>
          </w:p>
        </w:tc>
        <w:tc>
          <w:tcPr>
            <w:tcW w:w="2273" w:type="dxa"/>
            <w:tcBorders/>
          </w:tcPr>
          <w:p>
            <w:pPr>
              <w:pStyle w:val="Normal"/>
              <w:widowControl w:val="false"/>
              <w:suppressAutoHyphens w:val="true"/>
              <w:spacing w:before="0" w:after="0"/>
              <w:jc w:val="left"/>
              <w:rPr>
                <w:szCs w:val="28"/>
              </w:rPr>
            </w:pPr>
            <w:r>
              <w:rPr>
                <w:kern w:val="0"/>
                <w:szCs w:val="28"/>
                <w:lang w:val="ru-RU" w:bidi="ar-SA"/>
              </w:rPr>
              <w:t>Результат предоставления субсидии</w:t>
            </w:r>
          </w:p>
        </w:tc>
        <w:tc>
          <w:tcPr>
            <w:tcW w:w="6804" w:type="dxa"/>
            <w:tcBorders/>
          </w:tcPr>
          <w:p>
            <w:pPr>
              <w:pStyle w:val="Normal"/>
              <w:widowControl w:val="false"/>
              <w:suppressAutoHyphens w:val="true"/>
              <w:spacing w:before="0" w:after="0"/>
              <w:jc w:val="both"/>
              <w:rPr>
                <w:rFonts w:eastAsia="Calibri"/>
                <w:szCs w:val="28"/>
                <w:lang w:eastAsia="en-US"/>
              </w:rPr>
            </w:pPr>
            <w:r>
              <w:rPr>
                <w:kern w:val="0"/>
                <w:szCs w:val="28"/>
                <w:lang w:val="ru-RU" w:bidi="ar-SA"/>
              </w:rPr>
              <w:t xml:space="preserve">Результатом предоставления субсидии является </w:t>
            </w:r>
            <w:r>
              <w:rPr>
                <w:rFonts w:eastAsia="Calibri" w:eastAsiaTheme="minorHAnsi"/>
                <w:kern w:val="0"/>
                <w:szCs w:val="28"/>
                <w:lang w:val="ru-RU" w:eastAsia="en-US" w:bidi="ar-SA"/>
              </w:rPr>
              <w:t>предоставление ста процентам населения и приравненным к нему категориям потребителей Камчатского края электрической энергии по льготному тарифу за 2024 год по состоянию на 31 декабря 2024 года</w:t>
            </w:r>
            <w:r>
              <w:rPr>
                <w:kern w:val="0"/>
                <w:szCs w:val="28"/>
                <w:lang w:val="ru-RU" w:bidi="ar-SA"/>
              </w:rPr>
              <w:t>.</w:t>
            </w:r>
          </w:p>
          <w:p>
            <w:pPr>
              <w:pStyle w:val="ConsPlusNormal1"/>
              <w:widowControl w:val="false"/>
              <w:suppressAutoHyphens w:val="true"/>
              <w:spacing w:before="0" w:after="0"/>
              <w:ind w:hanging="0"/>
              <w:jc w:val="both"/>
              <w:rPr>
                <w:rFonts w:ascii="Times New Roman" w:hAnsi="Times New Roman" w:cs="Times New Roman"/>
                <w:sz w:val="28"/>
                <w:szCs w:val="28"/>
              </w:rPr>
            </w:pPr>
            <w:r>
              <w:rPr>
                <w:rFonts w:cs="Times New Roman" w:ascii="Times New Roman" w:hAnsi="Times New Roman"/>
                <w:kern w:val="0"/>
                <w:sz w:val="28"/>
                <w:szCs w:val="28"/>
                <w:lang w:val="ru-RU" w:bidi="ar-SA"/>
              </w:rPr>
              <w:t>Значение результата предоставления субсидии устанавливается соглашением.</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4.</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Проведение отбора осуществляется на официальном сайте Министерства жилищно-коммунального хозяйства и энергетики Камчатского края </w:t>
            </w:r>
          </w:p>
        </w:tc>
        <w:tc>
          <w:tcPr>
            <w:tcW w:w="68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en-US" w:bidi="ar-SA"/>
              </w:rPr>
              <w:t>www</w:t>
            </w:r>
            <w:r>
              <w:rPr>
                <w:kern w:val="0"/>
                <w:szCs w:val="28"/>
                <w:lang w:val="ru-RU" w:bidi="ar-SA"/>
              </w:rPr>
              <w:t>.</w:t>
            </w:r>
            <w:r>
              <w:rPr>
                <w:kern w:val="0"/>
                <w:szCs w:val="28"/>
                <w:lang w:val="en-US" w:bidi="ar-SA"/>
              </w:rPr>
              <w:t>kamgov</w:t>
            </w:r>
            <w:r>
              <w:rPr>
                <w:kern w:val="0"/>
                <w:szCs w:val="28"/>
                <w:lang w:val="ru-RU" w:bidi="ar-SA"/>
              </w:rPr>
              <w:t>.</w:t>
            </w:r>
            <w:r>
              <w:rPr>
                <w:kern w:val="0"/>
                <w:szCs w:val="28"/>
                <w:lang w:val="en-US" w:bidi="ar-SA"/>
              </w:rPr>
              <w:t>ru</w:t>
            </w:r>
            <w:r>
              <w:rPr>
                <w:kern w:val="0"/>
                <w:szCs w:val="28"/>
                <w:lang w:val="ru-RU" w:bidi="ar-SA"/>
              </w:rPr>
              <w:t>/</w:t>
            </w:r>
            <w:r>
              <w:rPr>
                <w:kern w:val="0"/>
                <w:szCs w:val="28"/>
                <w:lang w:val="en-US" w:bidi="ar-SA"/>
              </w:rPr>
              <w:t>minzkh</w:t>
            </w:r>
            <w:r>
              <w:rPr>
                <w:kern w:val="0"/>
                <w:szCs w:val="28"/>
                <w:lang w:val="ru-RU" w:bidi="ar-SA"/>
              </w:rPr>
              <w:t xml:space="preserve"> в разделе «Текущая деятельность» (вкладка «Отбор на предоставление субсидий», ссылка </w:t>
            </w:r>
            <w:hyperlink r:id="rId2">
              <w:r>
                <w:rPr>
                  <w:rStyle w:val="Style15"/>
                  <w:kern w:val="0"/>
                  <w:szCs w:val="28"/>
                  <w:lang w:val="ru-RU" w:bidi="ar-SA"/>
                </w:rPr>
                <w:t>https://www.kamgov.ru/minzkh/current_activities/test/otbor_na_predstovlenie_subsidii</w:t>
              </w:r>
            </w:hyperlink>
            <w:r>
              <w:rPr>
                <w:kern w:val="0"/>
                <w:szCs w:val="28"/>
                <w:lang w:val="ru-RU" w:bidi="ar-SA"/>
              </w:rPr>
              <w:t>)</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5.</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Категория и требования, которым должны соответствовать участники отбора </w:t>
            </w:r>
          </w:p>
        </w:tc>
        <w:tc>
          <w:tcPr>
            <w:tcW w:w="6804" w:type="dxa"/>
            <w:tcBorders/>
          </w:tcPr>
          <w:p>
            <w:pPr>
              <w:pStyle w:val="Normal"/>
              <w:widowControl w:val="false"/>
              <w:suppressAutoHyphens w:val="true"/>
              <w:spacing w:before="0" w:after="0"/>
              <w:jc w:val="both"/>
              <w:rPr>
                <w:rFonts w:eastAsia="Calibri"/>
                <w:szCs w:val="28"/>
                <w:lang w:eastAsia="en-US"/>
              </w:rPr>
            </w:pPr>
            <w:r>
              <w:rPr>
                <w:kern w:val="0"/>
                <w:szCs w:val="28"/>
                <w:lang w:val="ru-RU" w:bidi="ar-SA"/>
              </w:rPr>
              <w:t xml:space="preserve">К категории получателей субсидии относятся </w:t>
            </w:r>
            <w:r>
              <w:rPr>
                <w:rFonts w:eastAsia="Calibri" w:eastAsiaTheme="minorHAnsi"/>
                <w:kern w:val="0"/>
                <w:szCs w:val="28"/>
                <w:lang w:val="ru-RU" w:eastAsia="en-US" w:bidi="ar-SA"/>
              </w:rPr>
              <w:t>энергоснабжающие организации Камчатского края (за исключением государственных (муниципальных) учреждений), прошедшие процедуру государственного регулирования тарифов, осуществляющие отпуск электрической энергии по льготным тарифам, установленным Региональной службой по тарифам и ценам Камчатского края</w:t>
            </w:r>
            <w:bookmarkStart w:id="1" w:name="P88"/>
            <w:bookmarkEnd w:id="1"/>
            <w:r>
              <w:rPr>
                <w:kern w:val="0"/>
                <w:szCs w:val="28"/>
                <w:lang w:val="ru-RU" w:bidi="ar-SA"/>
              </w:rPr>
              <w:t>.</w:t>
            </w:r>
          </w:p>
          <w:p>
            <w:pPr>
              <w:pStyle w:val="ConsPlusNormal1"/>
              <w:widowControl w:val="false"/>
              <w:suppressAutoHyphens w:val="true"/>
              <w:spacing w:before="0" w:after="0"/>
              <w:ind w:hanging="0"/>
              <w:jc w:val="both"/>
              <w:rPr>
                <w:rFonts w:ascii="Times New Roman" w:hAnsi="Times New Roman" w:cs="Times New Roman"/>
                <w:sz w:val="28"/>
                <w:szCs w:val="28"/>
              </w:rPr>
            </w:pPr>
            <w:r>
              <w:rPr>
                <w:rFonts w:cs="Times New Roman" w:ascii="Times New Roman" w:hAnsi="Times New Roman"/>
                <w:kern w:val="0"/>
                <w:sz w:val="28"/>
                <w:szCs w:val="28"/>
                <w:lang w:val="ru-RU" w:bidi="ar-SA"/>
              </w:rPr>
              <w:t>Требования, предъявляемые к участникам отбора:</w:t>
            </w:r>
          </w:p>
          <w:p>
            <w:pPr>
              <w:pStyle w:val="Normal"/>
              <w:widowControl w:val="false"/>
              <w:suppressAutoHyphens w:val="true"/>
              <w:spacing w:before="0" w:after="0"/>
              <w:ind w:firstLine="540"/>
              <w:jc w:val="both"/>
              <w:rPr>
                <w:rFonts w:eastAsia="Calibri"/>
                <w:szCs w:val="28"/>
                <w:lang w:eastAsia="en-US"/>
              </w:rPr>
            </w:pPr>
            <w:bookmarkStart w:id="2" w:name="P89"/>
            <w:bookmarkEnd w:id="2"/>
            <w:r>
              <w:rPr>
                <w:rFonts w:eastAsia="Calibri" w:eastAsiaTheme="minorHAnsi"/>
                <w:kern w:val="0"/>
                <w:szCs w:val="28"/>
                <w:lang w:val="ru-RU" w:eastAsia="en-US" w:bidi="ar-SA"/>
              </w:rPr>
              <w:t>1) соответствие участника отбора на первое число месяца, в котором подается заявка, следующим требованиям:</w:t>
            </w:r>
          </w:p>
          <w:p>
            <w:pPr>
              <w:pStyle w:val="Normal"/>
              <w:widowControl w:val="false"/>
              <w:suppressAutoHyphens w:val="true"/>
              <w:spacing w:before="0" w:after="0"/>
              <w:ind w:firstLine="540"/>
              <w:jc w:val="both"/>
              <w:rPr>
                <w:rFonts w:ascii="Times New Roman" w:hAnsi="Times New Roman"/>
                <w:b w:val="false"/>
                <w:b w:val="false"/>
              </w:rPr>
            </w:pPr>
            <w:r>
              <w:rPr>
                <w:b w:val="false"/>
                <w:kern w:val="0"/>
                <w:sz w:val="28"/>
                <w:szCs w:val="28"/>
                <w:lang w:val="ru-RU" w:bidi="ar-SA"/>
              </w:rPr>
              <w:t xml:space="preserve">а)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 xml:space="preserve">б) участник отбора не получает средства из краевого бюджета на основании иных нормативных правовых актов Камчатского края на цели, указанные в </w:t>
            </w:r>
            <w:hyperlink r:id="rId3">
              <w:r>
                <w:rPr>
                  <w:rFonts w:eastAsia="Calibri" w:eastAsiaTheme="minorHAnsi"/>
                  <w:kern w:val="0"/>
                  <w:szCs w:val="28"/>
                  <w:lang w:val="ru-RU" w:eastAsia="en-US" w:bidi="ar-SA"/>
                </w:rPr>
                <w:t>части 2</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2) установление для участника отбора Региональной службой по тарифам и ценам Камчатского края (далее – РСТ Камчатского края) экономически обоснованного и льготного тарифов на электрическую энергию;</w:t>
            </w:r>
          </w:p>
          <w:p>
            <w:pPr>
              <w:pStyle w:val="Normal"/>
              <w:widowControl w:val="false"/>
              <w:suppressAutoHyphens w:val="true"/>
              <w:spacing w:before="0" w:after="0"/>
              <w:ind w:firstLine="540"/>
              <w:jc w:val="both"/>
              <w:rPr>
                <w:szCs w:val="28"/>
              </w:rPr>
            </w:pPr>
            <w:r>
              <w:rPr>
                <w:rFonts w:eastAsia="Calibri" w:eastAsiaTheme="minorHAnsi"/>
                <w:kern w:val="0"/>
                <w:szCs w:val="28"/>
                <w:lang w:val="ru-RU" w:eastAsia="en-US" w:bidi="ar-SA"/>
              </w:rPr>
              <w:t>3) фактическое оказание участником отбора услуги по отпуску электрической энергии потребителям Камчатского края по льготным тарифам.</w:t>
            </w:r>
            <w:r>
              <w:rPr>
                <w:kern w:val="0"/>
                <w:szCs w:val="28"/>
                <w:lang w:val="ru-RU" w:bidi="ar-SA"/>
              </w:rPr>
              <w:t xml:space="preserve"> </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6.</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Документы, которые необходимо предоставить для участия в отборе </w:t>
            </w:r>
          </w:p>
        </w:tc>
        <w:tc>
          <w:tcPr>
            <w:tcW w:w="6804" w:type="dxa"/>
            <w:tcBorders/>
          </w:tcPr>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 xml:space="preserve">Участник отбора в течение срока, указанного в пункте 1 настоящего объявления о проведении отбора, представляет в Министерство заявку по форме, </w:t>
            </w:r>
            <w:r>
              <w:rPr>
                <w:kern w:val="0"/>
                <w:szCs w:val="28"/>
                <w:lang w:val="ru-RU" w:bidi="ar-SA"/>
              </w:rPr>
              <w:t>утвержденной приказом Министерства от 27.01.2022 № 20-13</w:t>
            </w:r>
            <w:r>
              <w:rPr>
                <w:rFonts w:eastAsia="Calibri" w:eastAsiaTheme="minorHAnsi"/>
                <w:kern w:val="0"/>
                <w:szCs w:val="28"/>
                <w:lang w:val="ru-RU" w:eastAsia="en-US" w:bidi="ar-SA"/>
              </w:rPr>
              <w:t>, которая должна содержать:</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1) следующие сведения об участнике отбора, подавшем заявку:</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 xml:space="preserve">2) справку, подписанную руководителем участника отбора, подтверждающую, что участник отбора соответствует требованиям, установленным </w:t>
            </w:r>
            <w:hyperlink r:id="rId4">
              <w:r>
                <w:rPr>
                  <w:rFonts w:eastAsia="Calibri" w:eastAsiaTheme="minorHAnsi"/>
                  <w:kern w:val="0"/>
                  <w:szCs w:val="28"/>
                  <w:lang w:val="ru-RU" w:eastAsia="en-US" w:bidi="ar-SA"/>
                </w:rPr>
                <w:t>пунктом 1 части 10</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540"/>
              <w:jc w:val="both"/>
              <w:rPr>
                <w:szCs w:val="28"/>
              </w:rPr>
            </w:pPr>
            <w:r>
              <w:rPr>
                <w:rFonts w:eastAsia="Calibri" w:eastAsiaTheme="minorHAnsi"/>
                <w:kern w:val="0"/>
                <w:szCs w:val="28"/>
                <w:lang w:val="ru-RU" w:eastAsia="en-US" w:bidi="ar-SA"/>
              </w:rPr>
              <w:t>3) информацию о плановых объемах полезного отпуска электрической энергии населению и приравненным к нему категориям потребителей в текущем финансовом году по форме, утвержденной Министерством.</w:t>
            </w:r>
            <w:r>
              <w:rPr>
                <w:kern w:val="0"/>
                <w:szCs w:val="28"/>
                <w:lang w:val="ru-RU" w:bidi="ar-SA"/>
              </w:rPr>
              <w:t xml:space="preserve"> </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7.</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Заявка на участие в отборе предоставляется в порядке и по форме, установленной Министерством</w:t>
            </w:r>
          </w:p>
        </w:tc>
        <w:tc>
          <w:tcPr>
            <w:tcW w:w="68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xml:space="preserve">Заявка должна соответствовать форме, утвержденной приказом Министерства от 27.01.2022 № 20-13 (ссылка </w:t>
            </w:r>
            <w:hyperlink r:id="rId5">
              <w:r>
                <w:rPr>
                  <w:rStyle w:val="Style15"/>
                  <w:kern w:val="0"/>
                  <w:szCs w:val="28"/>
                  <w:lang w:val="ru-RU" w:bidi="ar-SA"/>
                </w:rPr>
                <w:t>https://minzkh.kamgov.ru/current_activities/test/otbor_na_predstovlenie_subsidii/normativnye-dokumenty</w:t>
              </w:r>
            </w:hyperlink>
            <w:r>
              <w:rPr>
                <w:kern w:val="0"/>
                <w:szCs w:val="28"/>
                <w:lang w:val="ru-RU" w:bidi="ar-SA"/>
              </w:rPr>
              <w:t xml:space="preserve">) </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8.</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отзыва заявки участником отбора </w:t>
            </w:r>
          </w:p>
        </w:tc>
        <w:tc>
          <w:tcPr>
            <w:tcW w:w="68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 в период проведения отбора уведомления об отзыве заявки.</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9.</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уведомления участников отбора об отклонении заявок </w:t>
            </w:r>
          </w:p>
        </w:tc>
        <w:tc>
          <w:tcPr>
            <w:tcW w:w="6804"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 xml:space="preserve">В случае отклонения заявки (заявок) Министерство в течение пяти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r:id="rId6">
              <w:r>
                <w:rPr>
                  <w:rFonts w:eastAsia="Calibri" w:eastAsiaTheme="minorHAnsi"/>
                  <w:kern w:val="0"/>
                  <w:szCs w:val="28"/>
                  <w:lang w:val="ru-RU" w:eastAsia="en-US" w:bidi="ar-SA"/>
                </w:rPr>
                <w:t>частью 25</w:t>
              </w:r>
            </w:hyperlink>
            <w:r>
              <w:rPr>
                <w:rFonts w:eastAsia="Calibri" w:eastAsiaTheme="minorHAnsi"/>
                <w:kern w:val="0"/>
                <w:szCs w:val="28"/>
                <w:lang w:val="ru-RU" w:eastAsia="en-US" w:bidi="ar-SA"/>
              </w:rPr>
              <w:t xml:space="preserve"> Порядка.</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10.</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внесения изменений в заявки </w:t>
            </w:r>
          </w:p>
        </w:tc>
        <w:tc>
          <w:tcPr>
            <w:tcW w:w="6804" w:type="dxa"/>
            <w:tcBorders/>
          </w:tcPr>
          <w:p>
            <w:pPr>
              <w:pStyle w:val="Normal"/>
              <w:widowControl w:val="false"/>
              <w:suppressAutoHyphens w:val="true"/>
              <w:spacing w:before="0" w:after="0"/>
              <w:jc w:val="both"/>
              <w:rPr>
                <w:szCs w:val="28"/>
              </w:rPr>
            </w:pPr>
            <w:r>
              <w:rPr>
                <w:kern w:val="0"/>
                <w:szCs w:val="28"/>
                <w:lang w:val="ru-RU" w:bidi="ar-SA"/>
              </w:rPr>
              <w:t>Внесение изменений в заявку осуществляется путем направления необходимых сведений в Министерство в период проведения отбора.</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11.</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Правила рассмотрения и оценки заявок </w:t>
            </w:r>
          </w:p>
        </w:tc>
        <w:tc>
          <w:tcPr>
            <w:tcW w:w="6804"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r:id="rId7">
              <w:r>
                <w:rPr>
                  <w:rFonts w:eastAsia="Calibri" w:eastAsiaTheme="minorHAnsi"/>
                  <w:kern w:val="0"/>
                  <w:szCs w:val="28"/>
                  <w:lang w:val="ru-RU" w:eastAsia="en-US" w:bidi="ar-SA"/>
                </w:rPr>
                <w:t>частью 11</w:t>
              </w:r>
            </w:hyperlink>
            <w:r>
              <w:rPr>
                <w:rFonts w:eastAsia="Calibri" w:eastAsiaTheme="minorHAnsi"/>
                <w:kern w:val="0"/>
                <w:szCs w:val="28"/>
                <w:lang w:val="ru-RU" w:eastAsia="en-US" w:bidi="ar-SA"/>
              </w:rPr>
              <w:t xml:space="preserve"> Порядка, а участник (участники) отбора при этом соответствует (соответствуют) категории и требованиям, установленным </w:t>
            </w:r>
            <w:hyperlink r:id="rId8">
              <w:r>
                <w:rPr>
                  <w:rFonts w:eastAsia="Calibri" w:eastAsiaTheme="minorHAnsi"/>
                  <w:kern w:val="0"/>
                  <w:szCs w:val="28"/>
                  <w:lang w:val="ru-RU" w:eastAsia="en-US" w:bidi="ar-SA"/>
                </w:rPr>
                <w:t>частями 6</w:t>
              </w:r>
            </w:hyperlink>
            <w:r>
              <w:rPr>
                <w:rFonts w:eastAsia="Calibri" w:eastAsiaTheme="minorHAnsi"/>
                <w:kern w:val="0"/>
                <w:szCs w:val="28"/>
                <w:lang w:val="ru-RU" w:eastAsia="en-US" w:bidi="ar-SA"/>
              </w:rPr>
              <w:t xml:space="preserve"> и </w:t>
            </w:r>
            <w:hyperlink r:id="rId9">
              <w:r>
                <w:rPr>
                  <w:rFonts w:eastAsia="Calibri" w:eastAsiaTheme="minorHAnsi"/>
                  <w:kern w:val="0"/>
                  <w:szCs w:val="28"/>
                  <w:lang w:val="ru-RU" w:eastAsia="en-US" w:bidi="ar-SA"/>
                </w:rPr>
                <w:t>10</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jc w:val="both"/>
              <w:rPr>
                <w:rFonts w:eastAsia="Calibri"/>
                <w:szCs w:val="28"/>
                <w:lang w:eastAsia="en-US"/>
              </w:rPr>
            </w:pPr>
            <w:r>
              <w:rPr>
                <w:rFonts w:eastAsia="Calibri"/>
                <w:szCs w:val="28"/>
                <w:lang w:eastAsia="en-US"/>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12.</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tc>
        <w:tc>
          <w:tcPr>
            <w:tcW w:w="6804" w:type="dxa"/>
            <w:tcBorders/>
          </w:tcPr>
          <w:p>
            <w:pPr>
              <w:pStyle w:val="Normal"/>
              <w:widowControl w:val="false"/>
              <w:suppressAutoHyphens w:val="true"/>
              <w:spacing w:before="0" w:after="0"/>
              <w:ind w:firstLine="596"/>
              <w:jc w:val="both"/>
              <w:rPr>
                <w:rFonts w:eastAsia="Calibri"/>
                <w:szCs w:val="28"/>
                <w:lang w:eastAsia="en-US"/>
              </w:rPr>
            </w:pPr>
            <w:r>
              <w:rPr>
                <w:rFonts w:eastAsia="Calibri" w:eastAsiaTheme="minorHAnsi"/>
                <w:kern w:val="0"/>
                <w:szCs w:val="28"/>
                <w:lang w:val="ru-RU" w:eastAsia="en-US" w:bidi="ar-SA"/>
              </w:rPr>
              <w:t>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pPr>
              <w:pStyle w:val="Normal"/>
              <w:widowControl w:val="false"/>
              <w:suppressAutoHyphens w:val="true"/>
              <w:spacing w:before="0" w:after="0"/>
              <w:ind w:firstLine="596"/>
              <w:jc w:val="both"/>
              <w:rPr>
                <w:rFonts w:eastAsia="Calibri"/>
                <w:szCs w:val="28"/>
                <w:lang w:eastAsia="en-US"/>
              </w:rPr>
            </w:pPr>
            <w:r>
              <w:rPr>
                <w:rFonts w:eastAsia="Calibri" w:eastAsiaTheme="minorHAnsi"/>
                <w:kern w:val="0"/>
                <w:szCs w:val="28"/>
                <w:lang w:val="ru-RU" w:eastAsia="en-US" w:bidi="ar-SA"/>
              </w:rPr>
              <w:t>Министерство в течение трех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pPr>
              <w:pStyle w:val="Normal"/>
              <w:widowControl w:val="false"/>
              <w:suppressAutoHyphens w:val="true"/>
              <w:spacing w:before="0" w:after="0"/>
              <w:ind w:firstLine="596"/>
              <w:jc w:val="both"/>
              <w:rPr>
                <w:szCs w:val="28"/>
              </w:rPr>
            </w:pPr>
            <w:r>
              <w:rPr>
                <w:rFonts w:eastAsia="Calibri" w:eastAsiaTheme="minorHAnsi"/>
                <w:kern w:val="0"/>
                <w:szCs w:val="28"/>
                <w:lang w:val="ru-RU" w:eastAsia="en-US" w:bidi="ar-SA"/>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13.</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Сроки подписания победителем (победителями) отбора соглашения о предоставлении субсидии (далее – соглашение) </w:t>
            </w:r>
          </w:p>
        </w:tc>
        <w:tc>
          <w:tcPr>
            <w:tcW w:w="6804"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Победитель отбора, которому направлен для подписания проект соглашения в двух экземплярах, в течение пяти рабочих дней после дня получения проекта соглашения подписывает его и возвращает в Министерство два экземпляра проекта соглашения.</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14.</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Условия признания победителя (победителей) отбора уклонившимся (уклонившимися) от заключения соглашения </w:t>
            </w:r>
          </w:p>
        </w:tc>
        <w:tc>
          <w:tcPr>
            <w:tcW w:w="6804"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 xml:space="preserve">В случае нарушения победителем отбора порядка подписания Соглашения, установленного </w:t>
            </w:r>
            <w:hyperlink r:id="rId10">
              <w:r>
                <w:rPr>
                  <w:rFonts w:eastAsia="Calibri" w:eastAsiaTheme="minorHAnsi"/>
                  <w:kern w:val="0"/>
                  <w:szCs w:val="28"/>
                  <w:lang w:val="ru-RU" w:eastAsia="en-US" w:bidi="ar-SA"/>
                </w:rPr>
                <w:t>частью 29</w:t>
              </w:r>
            </w:hyperlink>
            <w:r>
              <w:rPr>
                <w:rFonts w:eastAsia="Calibri" w:eastAsiaTheme="minorHAnsi"/>
                <w:kern w:val="0"/>
                <w:szCs w:val="28"/>
                <w:lang w:val="ru-RU" w:eastAsia="en-US" w:bidi="ar-SA"/>
              </w:rPr>
              <w:t xml:space="preserve">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widowControl w:val="false"/>
              <w:tabs>
                <w:tab w:val="clear" w:pos="708"/>
                <w:tab w:val="left" w:pos="1134" w:leader="none"/>
              </w:tabs>
              <w:suppressAutoHyphens w:val="true"/>
              <w:spacing w:before="0" w:after="0"/>
              <w:jc w:val="both"/>
              <w:rPr>
                <w:szCs w:val="28"/>
              </w:rPr>
            </w:pPr>
            <w:r>
              <w:rPr>
                <w:szCs w:val="28"/>
              </w:rPr>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15.</w:t>
            </w:r>
          </w:p>
        </w:tc>
        <w:tc>
          <w:tcPr>
            <w:tcW w:w="2273"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Дата размещения результатов отбора на едином портале и на официальном сайте Министерства </w:t>
            </w:r>
          </w:p>
        </w:tc>
        <w:tc>
          <w:tcPr>
            <w:tcW w:w="6804" w:type="dxa"/>
            <w:tcBorders/>
          </w:tcPr>
          <w:p>
            <w:pPr>
              <w:pStyle w:val="ConsPlusNormal1"/>
              <w:widowControl w:val="false"/>
              <w:suppressAutoHyphens w:val="true"/>
              <w:spacing w:before="0" w:after="0"/>
              <w:ind w:hanging="0"/>
              <w:jc w:val="both"/>
              <w:rPr>
                <w:rFonts w:ascii="Times New Roman" w:hAnsi="Times New Roman" w:cs="Times New Roman"/>
                <w:sz w:val="28"/>
                <w:szCs w:val="28"/>
              </w:rPr>
            </w:pPr>
            <w:r>
              <w:rPr>
                <w:rFonts w:cs="Times New Roman" w:ascii="Times New Roman" w:hAnsi="Times New Roman"/>
                <w:kern w:val="0"/>
                <w:sz w:val="28"/>
                <w:szCs w:val="28"/>
                <w:lang w:val="ru-RU" w:bidi="ar-SA"/>
              </w:rPr>
              <w:t>Министерство в срок не позднее 12.03.2024 размещает на едином портале и на официальном сайте Министерства (</w:t>
            </w:r>
            <w:hyperlink r:id="rId11">
              <w:r>
                <w:rPr>
                  <w:rStyle w:val="Style15"/>
                  <w:rFonts w:cs="Times New Roman" w:ascii="Times New Roman" w:hAnsi="Times New Roman"/>
                  <w:kern w:val="0"/>
                  <w:sz w:val="28"/>
                  <w:szCs w:val="28"/>
                  <w:lang w:val="ru-RU" w:bidi="ar-SA"/>
                </w:rPr>
                <w:t>https://minzkh.kamgov.ru/rezultat-provedenia-otbora</w:t>
              </w:r>
            </w:hyperlink>
            <w:r>
              <w:rPr>
                <w:rFonts w:cs="Times New Roman" w:ascii="Times New Roman" w:hAnsi="Times New Roman"/>
                <w:kern w:val="0"/>
                <w:sz w:val="28"/>
                <w:szCs w:val="28"/>
                <w:lang w:val="ru-RU" w:bidi="ar-SA"/>
              </w:rPr>
              <w:t>) информацию о результатах отбора, включающую:</w:t>
            </w:r>
          </w:p>
          <w:p>
            <w:pPr>
              <w:pStyle w:val="ConsPlusNormal1"/>
              <w:widowControl w:val="false"/>
              <w:suppressAutoHyphens w:val="true"/>
              <w:spacing w:before="0" w:after="0"/>
              <w:ind w:firstLine="540"/>
              <w:jc w:val="both"/>
              <w:rPr>
                <w:rFonts w:ascii="Times New Roman" w:hAnsi="Times New Roman" w:cs="Times New Roman"/>
                <w:sz w:val="28"/>
                <w:szCs w:val="28"/>
              </w:rPr>
            </w:pPr>
            <w:r>
              <w:rPr>
                <w:rFonts w:cs="Times New Roman" w:ascii="Times New Roman" w:hAnsi="Times New Roman"/>
                <w:kern w:val="0"/>
                <w:sz w:val="28"/>
                <w:szCs w:val="28"/>
                <w:lang w:val="ru-RU" w:bidi="ar-SA"/>
              </w:rPr>
              <w:t>1) дату, время и место проведения рассмотрения заявок;</w:t>
            </w:r>
          </w:p>
          <w:p>
            <w:pPr>
              <w:pStyle w:val="ConsPlusNormal1"/>
              <w:widowControl w:val="false"/>
              <w:suppressAutoHyphens w:val="true"/>
              <w:spacing w:before="0" w:after="0"/>
              <w:ind w:firstLine="540"/>
              <w:jc w:val="both"/>
              <w:rPr>
                <w:rFonts w:ascii="Times New Roman" w:hAnsi="Times New Roman" w:cs="Times New Roman"/>
                <w:sz w:val="28"/>
                <w:szCs w:val="28"/>
              </w:rPr>
            </w:pPr>
            <w:r>
              <w:rPr>
                <w:rFonts w:cs="Times New Roman" w:ascii="Times New Roman" w:hAnsi="Times New Roman"/>
                <w:kern w:val="0"/>
                <w:sz w:val="28"/>
                <w:szCs w:val="28"/>
                <w:lang w:val="ru-RU" w:bidi="ar-SA"/>
              </w:rPr>
              <w:t>2) информацию об участниках отбора, заявки которых были рассмотрены;</w:t>
            </w:r>
          </w:p>
          <w:p>
            <w:pPr>
              <w:pStyle w:val="Normal"/>
              <w:widowControl w:val="false"/>
              <w:suppressAutoHyphens w:val="true"/>
              <w:spacing w:before="0" w:after="0"/>
              <w:ind w:firstLine="540"/>
              <w:jc w:val="both"/>
              <w:rPr>
                <w:rFonts w:ascii="Times New Roman" w:hAnsi="Times New Roman"/>
                <w:b w:val="false"/>
                <w:b w:val="false"/>
              </w:rPr>
            </w:pPr>
            <w:r>
              <w:rPr>
                <w:b w:val="false"/>
                <w:kern w:val="0"/>
                <w:sz w:val="28"/>
                <w:szCs w:val="28"/>
                <w:lang w:val="ru-RU" w:bidi="ar-SA"/>
              </w:rPr>
              <w:t xml:space="preserve">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 </w:t>
            </w:r>
          </w:p>
          <w:p>
            <w:pPr>
              <w:pStyle w:val="Normal"/>
              <w:widowControl w:val="false"/>
              <w:suppressAutoHyphens w:val="true"/>
              <w:spacing w:before="0" w:after="0"/>
              <w:ind w:firstLine="540"/>
              <w:jc w:val="both"/>
              <w:rPr>
                <w:szCs w:val="28"/>
              </w:rPr>
            </w:pPr>
            <w:r>
              <w:rPr>
                <w:rFonts w:eastAsia="Calibri" w:eastAsiaTheme="minorHAnsi"/>
                <w:kern w:val="0"/>
                <w:szCs w:val="28"/>
                <w:lang w:val="ru-RU" w:eastAsia="en-US" w:bidi="ar-SA"/>
              </w:rPr>
              <w:t>4) информацию о победителе (победителях) отбора и о размерах предоставляемых ему субсидий.</w:t>
            </w:r>
          </w:p>
        </w:tc>
      </w:tr>
      <w:tr>
        <w:trPr/>
        <w:tc>
          <w:tcPr>
            <w:tcW w:w="704"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16.</w:t>
            </w:r>
          </w:p>
        </w:tc>
        <w:tc>
          <w:tcPr>
            <w:tcW w:w="2273"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Наименование, место нахождения, почтовый адрес, адрес электронной почты Министерства</w:t>
            </w:r>
          </w:p>
          <w:p>
            <w:pPr>
              <w:pStyle w:val="Normal"/>
              <w:widowControl w:val="false"/>
              <w:tabs>
                <w:tab w:val="clear" w:pos="708"/>
                <w:tab w:val="left" w:pos="851" w:leader="none"/>
              </w:tabs>
              <w:suppressAutoHyphens w:val="true"/>
              <w:spacing w:before="0" w:after="0"/>
              <w:jc w:val="left"/>
              <w:rPr>
                <w:szCs w:val="28"/>
              </w:rPr>
            </w:pPr>
            <w:r>
              <w:rPr>
                <w:szCs w:val="28"/>
              </w:rPr>
            </w:r>
          </w:p>
        </w:tc>
        <w:tc>
          <w:tcPr>
            <w:tcW w:w="6804" w:type="dxa"/>
            <w:tcBorders/>
          </w:tcPr>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полное наименование: Министерство жилищно-коммунального хозяйства и энергетики Камчатского края;</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сокращенное наименование: Министерство ЖКХ и энергетики Камчатского края;</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место нахождения: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почтовый адрес: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 адрес электронной почты: </w:t>
            </w:r>
            <w:hyperlink r:id="rId12">
              <w:r>
                <w:rPr>
                  <w:rStyle w:val="Style15"/>
                  <w:rFonts w:cs="Times New Roman" w:ascii="Times New Roman" w:hAnsi="Times New Roman"/>
                  <w:kern w:val="0"/>
                  <w:sz w:val="28"/>
                  <w:szCs w:val="28"/>
                  <w:lang w:val="en-US" w:bidi="ar-SA"/>
                </w:rPr>
                <w:t>tek</w:t>
              </w:r>
              <w:r>
                <w:rPr>
                  <w:rStyle w:val="Style15"/>
                  <w:rFonts w:cs="Times New Roman" w:ascii="Times New Roman" w:hAnsi="Times New Roman"/>
                  <w:kern w:val="0"/>
                  <w:sz w:val="28"/>
                  <w:szCs w:val="28"/>
                  <w:lang w:val="ru-RU" w:bidi="ar-SA"/>
                </w:rPr>
                <w:t>1@</w:t>
              </w:r>
              <w:r>
                <w:rPr>
                  <w:rStyle w:val="Style15"/>
                  <w:rFonts w:cs="Times New Roman" w:ascii="Times New Roman" w:hAnsi="Times New Roman"/>
                  <w:kern w:val="0"/>
                  <w:sz w:val="28"/>
                  <w:szCs w:val="28"/>
                  <w:lang w:val="en-US" w:bidi="ar-SA"/>
                </w:rPr>
                <w:t>kamgov</w:t>
              </w:r>
              <w:r>
                <w:rPr>
                  <w:rStyle w:val="Style15"/>
                  <w:rFonts w:cs="Times New Roman" w:ascii="Times New Roman" w:hAnsi="Times New Roman"/>
                  <w:kern w:val="0"/>
                  <w:sz w:val="28"/>
                  <w:szCs w:val="28"/>
                  <w:lang w:val="ru-RU" w:bidi="ar-SA"/>
                </w:rPr>
                <w:t>.</w:t>
              </w:r>
              <w:r>
                <w:rPr>
                  <w:rStyle w:val="Style15"/>
                  <w:rFonts w:cs="Times New Roman" w:ascii="Times New Roman" w:hAnsi="Times New Roman"/>
                  <w:kern w:val="0"/>
                  <w:sz w:val="28"/>
                  <w:szCs w:val="28"/>
                  <w:lang w:val="en-US" w:bidi="ar-SA"/>
                </w:rPr>
                <w:t>ru</w:t>
              </w:r>
            </w:hyperlink>
            <w:r>
              <w:rPr>
                <w:rFonts w:cs="Times New Roman" w:ascii="Times New Roman" w:hAnsi="Times New Roman"/>
                <w:kern w:val="0"/>
                <w:sz w:val="28"/>
                <w:szCs w:val="28"/>
                <w:lang w:val="ru-RU" w:bidi="ar-SA"/>
              </w:rPr>
              <w:t xml:space="preserve"> </w:t>
            </w:r>
          </w:p>
        </w:tc>
      </w:tr>
    </w:tbl>
    <w:p>
      <w:pPr>
        <w:pStyle w:val="Normal"/>
        <w:rPr/>
      </w:pPr>
      <w:r>
        <w:rPr/>
        <mc:AlternateContent>
          <mc:Choice Requires="wps">
            <w:drawing>
              <wp:anchor behindDoc="0" distT="0" distB="5715" distL="0" distR="0" simplePos="0" locked="0" layoutInCell="0" allowOverlap="1" relativeHeight="2" wp14:anchorId="1D3FC32F">
                <wp:simplePos x="0" y="0"/>
                <wp:positionH relativeFrom="margin">
                  <wp:align>left</wp:align>
                </wp:positionH>
                <wp:positionV relativeFrom="page">
                  <wp:posOffset>9965690</wp:posOffset>
                </wp:positionV>
                <wp:extent cx="3848100" cy="318135"/>
                <wp:effectExtent l="0" t="0" r="0" b="6350"/>
                <wp:wrapNone/>
                <wp:docPr id="1" name="Надпись 1"/>
                <a:graphic xmlns:a="http://schemas.openxmlformats.org/drawingml/2006/main">
                  <a:graphicData uri="http://schemas.microsoft.com/office/word/2010/wordprocessingShape">
                    <wps:wsp>
                      <wps:cNvSpPr/>
                      <wps:spPr>
                        <a:xfrm>
                          <a:off x="0" y="0"/>
                          <a:ext cx="3848040" cy="318240"/>
                        </a:xfrm>
                        <a:prstGeom prst="rect">
                          <a:avLst/>
                        </a:prstGeom>
                        <a:solidFill>
                          <a:srgbClr val="ffffff"/>
                        </a:solidFill>
                        <a:ln w="6350">
                          <a:noFill/>
                        </a:ln>
                      </wps:spPr>
                      <wps:style>
                        <a:lnRef idx="0"/>
                        <a:fillRef idx="0"/>
                        <a:effectRef idx="0"/>
                        <a:fontRef idx="minor"/>
                      </wps:style>
                      <wps:txbx>
                        <w:txbxContent>
                          <w:p>
                            <w:pPr>
                              <w:pStyle w:val="Style23"/>
                              <w:rPr>
                                <w:sz w:val="22"/>
                                <w:szCs w:val="22"/>
                              </w:rPr>
                            </w:pPr>
                            <w:r>
                              <w:rPr>
                                <w:color w:val="000000"/>
                                <w:sz w:val="22"/>
                                <w:szCs w:val="22"/>
                              </w:rPr>
                              <w:t>Исп. Попова Елена Николаевна, 8(4152)42-01-05</w:t>
                            </w:r>
                          </w:p>
                        </w:txbxContent>
                      </wps:txbx>
                      <wps:bodyPr anchor="t">
                        <a:prstTxWarp prst="textNoShape"/>
                        <a:noAutofit/>
                      </wps:bodyPr>
                    </wps:wsp>
                  </a:graphicData>
                </a:graphic>
              </wp:anchor>
            </w:drawing>
          </mc:Choice>
          <mc:Fallback>
            <w:pict>
              <v:rect id="shape_0" ID="Надпись 1" path="m0,0l-2147483645,0l-2147483645,-2147483646l0,-2147483646xe" fillcolor="white" stroked="f" o:allowincell="f" style="position:absolute;margin-left:0pt;margin-top:784.7pt;width:302.95pt;height:25pt;mso-wrap-style:square;v-text-anchor:top;mso-position-horizontal:left;mso-position-horizontal-relative:margin;mso-position-vertical-relative:page" wp14:anchorId="1D3FC32F">
                <v:fill o:detectmouseclick="t" type="solid" color2="black"/>
                <v:stroke color="#3465a4" weight="6480" joinstyle="round" endcap="flat"/>
                <v:textbox>
                  <w:txbxContent>
                    <w:p>
                      <w:pPr>
                        <w:pStyle w:val="Style23"/>
                        <w:rPr>
                          <w:sz w:val="22"/>
                          <w:szCs w:val="22"/>
                        </w:rPr>
                      </w:pPr>
                      <w:r>
                        <w:rPr>
                          <w:color w:val="000000"/>
                          <w:sz w:val="22"/>
                          <w:szCs w:val="22"/>
                        </w:rPr>
                        <w:t>Исп. Попова Елена Николаевна, 8(4152)42-01-05</w:t>
                      </w:r>
                    </w:p>
                  </w:txbxContent>
                </v:textbox>
                <w10:wrap type="none"/>
              </v:rect>
            </w:pict>
          </mc:Fallback>
        </mc:AlternateContent>
      </w:r>
    </w:p>
    <w:sectPr>
      <w:headerReference w:type="default" r:id="rId13"/>
      <w:type w:val="nextPage"/>
      <w:pgSz w:w="11906" w:h="16838"/>
      <w:pgMar w:left="1418" w:right="851" w:gutter="0" w:header="709" w:top="1134" w:footer="0" w:bottom="851"/>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297361438"/>
    </w:sdtPr>
    <w:sdtContent>
      <w:p>
        <w:pPr>
          <w:pStyle w:val="Style24"/>
          <w:jc w:val="center"/>
          <w:rPr>
            <w:sz w:val="24"/>
          </w:rPr>
        </w:pPr>
        <w:r>
          <w:rPr>
            <w:sz w:val="24"/>
          </w:rPr>
          <w:fldChar w:fldCharType="begin"/>
        </w:r>
        <w:r>
          <w:rPr>
            <w:sz w:val="24"/>
          </w:rPr>
          <w:instrText xml:space="preserve"> PAGE </w:instrText>
        </w:r>
        <w:r>
          <w:rPr>
            <w:sz w:val="24"/>
          </w:rPr>
          <w:fldChar w:fldCharType="separate"/>
        </w:r>
        <w:r>
          <w:rPr>
            <w:sz w:val="24"/>
          </w:rPr>
          <w:t>0</w:t>
        </w:r>
        <w:r>
          <w:rPr>
            <w:sz w:val="24"/>
          </w:rPr>
          <w:fldChar w:fldCharType="end"/>
        </w:r>
      </w:p>
    </w:sdtContent>
  </w:sdt>
  <w:p>
    <w:pPr>
      <w:pStyle w:val="Style24"/>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f73"/>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1"/>
    <w:qFormat/>
    <w:rsid w:val="0009029f"/>
    <w:rPr>
      <w:rFonts w:ascii="Arial" w:hAnsi="Arial" w:eastAsia="Times New Roman" w:cs="Arial"/>
      <w:sz w:val="20"/>
      <w:szCs w:val="20"/>
      <w:lang w:eastAsia="ru-RU"/>
    </w:rPr>
  </w:style>
  <w:style w:type="character" w:styleId="Style14" w:customStyle="1">
    <w:name w:val="Нижний колонтитул Знак"/>
    <w:basedOn w:val="DefaultParagraphFont"/>
    <w:uiPriority w:val="99"/>
    <w:qFormat/>
    <w:rsid w:val="00752057"/>
    <w:rPr>
      <w:rFonts w:ascii="Times New Roman" w:hAnsi="Times New Roman" w:eastAsia="Times New Roman" w:cs="Times New Roman"/>
      <w:sz w:val="28"/>
      <w:szCs w:val="28"/>
      <w:lang w:eastAsia="ru-RU"/>
    </w:rPr>
  </w:style>
  <w:style w:type="character" w:styleId="Style15">
    <w:name w:val="Hyperlink"/>
    <w:basedOn w:val="DefaultParagraphFont"/>
    <w:uiPriority w:val="99"/>
    <w:unhideWhenUsed/>
    <w:rsid w:val="00525fc9"/>
    <w:rPr>
      <w:color w:val="0563C1" w:themeColor="hyperlink"/>
      <w:u w:val="single"/>
    </w:rPr>
  </w:style>
  <w:style w:type="character" w:styleId="Style16" w:customStyle="1">
    <w:name w:val="Верхний колонтитул Знак"/>
    <w:basedOn w:val="DefaultParagraphFont"/>
    <w:uiPriority w:val="99"/>
    <w:qFormat/>
    <w:rsid w:val="005d4abe"/>
    <w:rPr>
      <w:rFonts w:ascii="Times New Roman" w:hAnsi="Times New Roman" w:eastAsia="Times New Roman" w:cs="Times New Roman"/>
      <w:sz w:val="28"/>
      <w:szCs w:val="24"/>
      <w:lang w:eastAsia="ru-RU"/>
    </w:rPr>
  </w:style>
  <w:style w:type="paragraph" w:styleId="Style17">
    <w:name w:val="Заголовок"/>
    <w:basedOn w:val="Normal"/>
    <w:next w:val="Style18"/>
    <w:qFormat/>
    <w:pPr>
      <w:keepNext w:val="true"/>
      <w:spacing w:before="240" w:after="120"/>
    </w:pPr>
    <w:rPr>
      <w:rFonts w:ascii="Open Sans" w:hAnsi="Open Sans" w:eastAsia="Tahoma"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ConsPlusNormal1" w:customStyle="1">
    <w:name w:val="ConsPlusNormal"/>
    <w:link w:val="ConsPlusNormal"/>
    <w:qFormat/>
    <w:rsid w:val="000902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f5fe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2">
    <w:name w:val="Колонтитул"/>
    <w:basedOn w:val="Normal"/>
    <w:qFormat/>
    <w:pPr/>
    <w:rPr/>
  </w:style>
  <w:style w:type="paragraph" w:styleId="Style23">
    <w:name w:val="Footer"/>
    <w:basedOn w:val="Normal"/>
    <w:link w:val="Style14"/>
    <w:uiPriority w:val="99"/>
    <w:rsid w:val="00752057"/>
    <w:pPr>
      <w:tabs>
        <w:tab w:val="clear" w:pos="708"/>
        <w:tab w:val="center" w:pos="4677" w:leader="none"/>
        <w:tab w:val="right" w:pos="9355" w:leader="none"/>
      </w:tabs>
    </w:pPr>
    <w:rPr>
      <w:szCs w:val="28"/>
    </w:rPr>
  </w:style>
  <w:style w:type="paragraph" w:styleId="Style24">
    <w:name w:val="Header"/>
    <w:basedOn w:val="Normal"/>
    <w:link w:val="Style16"/>
    <w:uiPriority w:val="99"/>
    <w:unhideWhenUsed/>
    <w:rsid w:val="005d4abe"/>
    <w:pPr>
      <w:tabs>
        <w:tab w:val="clear" w:pos="708"/>
        <w:tab w:val="center" w:pos="4677" w:leader="none"/>
        <w:tab w:val="right" w:pos="9355" w:leader="none"/>
      </w:tabs>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36f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amgov.ru/minzkh/current_activities/test/otbor_na_predstovlenie_subsidii" TargetMode="External"/><Relationship Id="rId3" Type="http://schemas.openxmlformats.org/officeDocument/2006/relationships/hyperlink" Target="consultantplus://offline/ref=E5487D47BDC48AD3916FAFB40027F47300469847932BBF9A309A335F1114B1C70ACD921EC929A163B67875BA266097F3A80902C6F6999110CB501F02MD60A" TargetMode="External"/><Relationship Id="rId4" Type="http://schemas.openxmlformats.org/officeDocument/2006/relationships/hyperlink" Target="consultantplus://offline/ref=B3117E02003EF02D0571002713DE0138E72BDFB5E4DE2A6E1C3B57D7A2F4CB74D252960E98193FF2913A5069649A9D302E63A93C514BE7D41921ED62t5B4B" TargetMode="External"/><Relationship Id="rId5" Type="http://schemas.openxmlformats.org/officeDocument/2006/relationships/hyperlink" Target="https://minzkh.kamgov.ru/current_activities/test/otbor_na_predstovlenie_subsidii/normativnye-dokumenty" TargetMode="External"/><Relationship Id="rId6" Type="http://schemas.openxmlformats.org/officeDocument/2006/relationships/hyperlink" Target="consultantplus://offline/ref=7F3AAA0C8E308CB8A7C7C276FCABF3BCFA8BF579FCC62825457F0700C8281B4A46AE85623E8F3AC998A1CEADB71134FA75970435183674D0315C3290c8JEB" TargetMode="External"/><Relationship Id="rId7" Type="http://schemas.openxmlformats.org/officeDocument/2006/relationships/hyperlink" Target="consultantplus://offline/ref=78E3727BA3B1FEAC9309907174B84ABD61F908A2BB5D01B40689C551ABDACD9412485B765E05380263F7F6ADCEDB11FCC17F592DD98BAA03AE4AB477pAK8B" TargetMode="External"/><Relationship Id="rId8" Type="http://schemas.openxmlformats.org/officeDocument/2006/relationships/hyperlink" Target="consultantplus://offline/ref=78E3727BA3B1FEAC9309907174B84ABD61F908A2BB5D01B40689C551ABDACD9412485B765E05380263F7F6A2CDDB11FCC17F592DD98BAA03AE4AB477pAK8B" TargetMode="External"/><Relationship Id="rId9" Type="http://schemas.openxmlformats.org/officeDocument/2006/relationships/hyperlink" Target="consultantplus://offline/ref=78E3727BA3B1FEAC9309907174B84ABD61F908A2BB5D01B40689C551ABDACD9412485B765E05380263F7F6ACCADB11FCC17F592DD98BAA03AE4AB477pAK8B" TargetMode="External"/><Relationship Id="rId10" Type="http://schemas.openxmlformats.org/officeDocument/2006/relationships/hyperlink" Target="consultantplus://offline/ref=FE0A97F75881B987F003DF577BF9EF03B3ED1999BEEF57FE37D2DEE39FEDBDC9107378CC2B45AC08B9B954E7AFD0D65D429E1543809EFBC3ABB433C6g3O0B" TargetMode="External"/><Relationship Id="rId11" Type="http://schemas.openxmlformats.org/officeDocument/2006/relationships/hyperlink" Target="https://minzkh.kamgov.ru/rezultat-provedenia-otbora" TargetMode="External"/><Relationship Id="rId12" Type="http://schemas.openxmlformats.org/officeDocument/2006/relationships/hyperlink" Target="mailto:tek1@kamgov.r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Application>LibreOffice/7.4.4.2$Linux_X86_64 LibreOffice_project/40$Build-2</Application>
  <AppVersion>15.0000</AppVersion>
  <Pages>6</Pages>
  <Words>1215</Words>
  <Characters>8810</Characters>
  <CharactersWithSpaces>9971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2022-12-28T04:59:00Z</dcterms:created>
  <dc:creator>Попова Елена Николаевна</dc:creator>
  <dc:description/>
  <dc:language>ru-RU</dc:language>
  <cp:lastModifiedBy/>
  <dcterms:modified xsi:type="dcterms:W3CDTF">2024-01-29T10:03:00Z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