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Объявление</w:t>
      </w:r>
    </w:p>
    <w:p w14:paraId="02000000">
      <w:pPr>
        <w:ind/>
        <w:jc w:val="center"/>
      </w:pPr>
      <w:r>
        <w:t xml:space="preserve">о проведении отбора получателей </w:t>
      </w:r>
      <w:r>
        <w:t xml:space="preserve">из краевого бюджета субсидии </w:t>
      </w:r>
      <w:r>
        <w:rPr>
          <w:rFonts w:ascii="Times New Roman" w:hAnsi="Times New Roman"/>
          <w:sz w:val="28"/>
        </w:rPr>
        <w:t xml:space="preserve">юридическим лицам  в рамках непрограммных мероприятий </w:t>
      </w:r>
      <w:r>
        <w:rPr>
          <w:rFonts w:ascii="Times New Roman" w:hAnsi="Times New Roman"/>
          <w:spacing w:val="4"/>
          <w:sz w:val="28"/>
        </w:rPr>
        <w:t xml:space="preserve">в целях возмещения теплоснабжающим организациям Камчатского края </w:t>
      </w:r>
      <w:r>
        <w:rPr>
          <w:rFonts w:ascii="Times New Roman" w:hAnsi="Times New Roman"/>
          <w:sz w:val="28"/>
        </w:rPr>
        <w:t>части затрат</w:t>
      </w:r>
      <w:r>
        <w:rPr>
          <w:rFonts w:ascii="Times New Roman" w:hAnsi="Times New Roman"/>
          <w:spacing w:val="4"/>
          <w:sz w:val="28"/>
        </w:rPr>
        <w:t>, возникших в связи с реализацией тепловой энергии (мощности) и (или) теплоносителя, необходимых для о</w:t>
      </w:r>
      <w:r>
        <w:rPr>
          <w:rFonts w:ascii="Times New Roman" w:hAnsi="Times New Roman"/>
          <w:spacing w:val="4"/>
          <w:sz w:val="28"/>
        </w:rPr>
        <w:t xml:space="preserve">казания коммунальных услуг по отоплению и горячему водоснабжению населению и приравненным к нему </w:t>
      </w:r>
      <w:r>
        <w:rPr>
          <w:rFonts w:ascii="Times New Roman" w:hAnsi="Times New Roman"/>
          <w:sz w:val="28"/>
        </w:rPr>
        <w:t>категориям потребителей, по льготным тарифам, установленным в результате роста цен на топочный мазут и (или) в результате изменения объема потребления топлива</w:t>
      </w:r>
    </w:p>
    <w:p w14:paraId="03000000">
      <w:pPr>
        <w:ind/>
        <w:jc w:val="both"/>
      </w:pPr>
      <w:r>
        <w:t xml:space="preserve"> </w:t>
      </w:r>
    </w:p>
    <w:p w14:paraId="04000000">
      <w:pPr>
        <w:ind/>
        <w:jc w:val="both"/>
      </w:pPr>
      <w:r>
        <w:t xml:space="preserve">Министерством жилищно-коммунального хозяйства и энергетики Камчатского края </w:t>
      </w:r>
      <w:r>
        <w:t xml:space="preserve">(далее – Министерство) </w:t>
      </w:r>
      <w:r>
        <w:t xml:space="preserve">объявлен </w:t>
      </w:r>
      <w:r>
        <w:t xml:space="preserve">отбор получателей из краевого бюджета субсидий </w:t>
      </w:r>
      <w:r>
        <w:t>юридическим лицам</w:t>
      </w:r>
      <w:r>
        <w:rPr>
          <w:rFonts w:ascii="Times New Roman" w:hAnsi="Times New Roman"/>
          <w:sz w:val="28"/>
        </w:rPr>
        <w:t xml:space="preserve">юридическим лицам  в рамках непрограммных мероприятий </w:t>
      </w:r>
      <w:r>
        <w:rPr>
          <w:rFonts w:ascii="Times New Roman" w:hAnsi="Times New Roman"/>
          <w:spacing w:val="4"/>
          <w:sz w:val="28"/>
        </w:rPr>
        <w:t xml:space="preserve">в целях возмещения теплоснабжающим организациям Камчатского края </w:t>
      </w:r>
      <w:r>
        <w:rPr>
          <w:rFonts w:ascii="Times New Roman" w:hAnsi="Times New Roman"/>
          <w:sz w:val="28"/>
        </w:rPr>
        <w:t>части затрат</w:t>
      </w:r>
      <w:r>
        <w:rPr>
          <w:rFonts w:ascii="Times New Roman" w:hAnsi="Times New Roman"/>
          <w:spacing w:val="4"/>
          <w:sz w:val="28"/>
        </w:rPr>
        <w:t>, возникших в связи с реализацией тепловой энергии (мощности) и (или) теплоносителя, необходимых для о</w:t>
      </w:r>
      <w:r>
        <w:rPr>
          <w:rFonts w:ascii="Times New Roman" w:hAnsi="Times New Roman"/>
          <w:spacing w:val="4"/>
          <w:sz w:val="28"/>
        </w:rPr>
        <w:t xml:space="preserve">казания коммунальных услуг по отоплению и горячему водоснабжению населению и приравненным к нему </w:t>
      </w:r>
      <w:r>
        <w:rPr>
          <w:rFonts w:ascii="Times New Roman" w:hAnsi="Times New Roman"/>
          <w:sz w:val="28"/>
        </w:rPr>
        <w:t>категориям потребителей, по льготным тарифам, установленным в результате роста цен на топочный мазут и (или) в результате изменения объема потребления топлива</w:t>
      </w:r>
      <w:r>
        <w:t xml:space="preserve">, утвержденным </w:t>
      </w:r>
      <w:r>
        <w:t>п</w:t>
      </w:r>
      <w:r>
        <w:t>остановление</w:t>
      </w:r>
      <w:r>
        <w:t>м</w:t>
      </w:r>
      <w:r>
        <w:t xml:space="preserve"> </w:t>
      </w:r>
      <w:r>
        <w:t xml:space="preserve">Правительства Камчатского края от </w:t>
      </w:r>
      <w:r>
        <w:t>26.12.2023</w:t>
      </w:r>
      <w:r>
        <w:t xml:space="preserve"> № </w:t>
      </w:r>
      <w:r>
        <w:t>692</w:t>
      </w:r>
      <w:r>
        <w:t>-П «</w:t>
      </w:r>
      <w:r>
        <w:rPr>
          <w:rFonts w:ascii="Times New Roman" w:hAnsi="Times New Roman"/>
          <w:b w:val="0"/>
          <w:sz w:val="28"/>
        </w:rPr>
        <w:t xml:space="preserve">Об утверждении Порядка предоставления из краевого бюджета  за счет иных межбюджетных трансфертов из федерального </w:t>
      </w:r>
      <w:r>
        <w:rPr>
          <w:rFonts w:ascii="Times New Roman" w:hAnsi="Times New Roman"/>
          <w:b w:val="0"/>
          <w:sz w:val="28"/>
        </w:rPr>
        <w:t>бюджета субсидии юридическим лицам в целях возмещения части затрат</w:t>
      </w:r>
      <w:r>
        <w:rPr>
          <w:rFonts w:ascii="Times New Roman" w:hAnsi="Times New Roman"/>
          <w:b w:val="0"/>
          <w:spacing w:val="4"/>
          <w:sz w:val="28"/>
        </w:rPr>
        <w:t>, возникших в связи с реализацией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</w:t>
      </w:r>
      <w:r>
        <w:rPr>
          <w:rFonts w:ascii="Times New Roman" w:hAnsi="Times New Roman"/>
          <w:b w:val="0"/>
          <w:spacing w:val="4"/>
          <w:sz w:val="28"/>
        </w:rPr>
        <w:t xml:space="preserve">м к нему </w:t>
      </w:r>
      <w:r>
        <w:rPr>
          <w:rFonts w:ascii="Times New Roman" w:hAnsi="Times New Roman"/>
          <w:b w:val="0"/>
          <w:sz w:val="28"/>
        </w:rPr>
        <w:t>категориям потребителей, по льготным тарифам, установленным  в результате роста цен на топочный мазут и (или) в результате изменения объема потребления топлива</w:t>
      </w:r>
      <w:r>
        <w:t>»</w:t>
      </w:r>
      <w:r>
        <w:t xml:space="preserve"> (далее – Порядок)</w:t>
      </w:r>
      <w:r>
        <w:t>.</w:t>
      </w:r>
    </w:p>
    <w:p w14:paraId="05000000">
      <w:pPr>
        <w:tabs>
          <w:tab w:leader="none" w:pos="851" w:val="left"/>
        </w:tabs>
        <w:ind w:firstLine="709" w:left="0"/>
        <w:jc w:val="both"/>
      </w:pPr>
    </w:p>
    <w:tbl>
      <w:tblPr>
        <w:tblStyle w:val="Style_2"/>
        <w:tblInd w:type="dxa" w:w="-5"/>
        <w:tblLayout w:type="fixed"/>
      </w:tblPr>
      <w:tblGrid>
        <w:gridCol w:w="704"/>
        <w:gridCol w:w="1990"/>
        <w:gridCol w:w="7371"/>
      </w:tblGrid>
      <w:tr>
        <w:tc>
          <w:tcPr>
            <w:tcW w:type="dxa" w:w="704"/>
          </w:tcPr>
          <w:p w14:paraId="06000000">
            <w:pPr>
              <w:tabs>
                <w:tab w:leader="none" w:pos="851" w:val="left"/>
              </w:tabs>
              <w:ind/>
              <w:jc w:val="both"/>
            </w:pPr>
            <w:r>
              <w:t>1.</w:t>
            </w:r>
          </w:p>
        </w:tc>
        <w:tc>
          <w:tcPr>
            <w:tcW w:type="dxa" w:w="1990"/>
          </w:tcPr>
          <w:p w14:paraId="07000000">
            <w:r>
              <w:t>С</w:t>
            </w:r>
            <w:r>
              <w:t>рок проведения отбора</w:t>
            </w:r>
          </w:p>
        </w:tc>
        <w:tc>
          <w:tcPr>
            <w:tcW w:type="dxa" w:w="7371"/>
          </w:tcPr>
          <w:p w14:paraId="08000000">
            <w:pPr>
              <w:tabs>
                <w:tab w:leader="none" w:pos="851" w:val="left"/>
              </w:tabs>
              <w:ind/>
              <w:jc w:val="both"/>
            </w:pPr>
            <w:r>
              <w:t xml:space="preserve">с </w:t>
            </w:r>
            <w:r>
              <w:t>27.12</w:t>
            </w:r>
            <w:r>
              <w:t>.202</w:t>
            </w:r>
            <w:r>
              <w:t>3</w:t>
            </w:r>
            <w:r>
              <w:t xml:space="preserve"> по </w:t>
            </w:r>
            <w:r>
              <w:t>09.01.2023</w:t>
            </w:r>
            <w:r>
              <w:t xml:space="preserve"> (включительно)</w:t>
            </w:r>
            <w:r>
              <w:t>;</w:t>
            </w:r>
          </w:p>
          <w:p w14:paraId="09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0A000000">
            <w:pPr>
              <w:tabs>
                <w:tab w:leader="none" w:pos="851" w:val="left"/>
              </w:tabs>
              <w:ind/>
              <w:jc w:val="both"/>
            </w:pPr>
            <w:r>
              <w:t>2.</w:t>
            </w:r>
          </w:p>
        </w:tc>
        <w:tc>
          <w:tcPr>
            <w:tcW w:type="dxa" w:w="1990"/>
          </w:tcPr>
          <w:p w14:paraId="0B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ата начала подачи </w:t>
            </w:r>
            <w:r>
              <w:t>приема заявок</w:t>
            </w:r>
            <w:r>
              <w:t xml:space="preserve"> </w:t>
            </w:r>
          </w:p>
        </w:tc>
        <w:tc>
          <w:tcPr>
            <w:tcW w:type="dxa" w:w="7371"/>
          </w:tcPr>
          <w:p w14:paraId="0C000000">
            <w:pPr>
              <w:tabs>
                <w:tab w:leader="none" w:pos="851" w:val="left"/>
              </w:tabs>
              <w:ind/>
              <w:jc w:val="both"/>
            </w:pPr>
            <w:r>
              <w:t>27.12.2023</w:t>
            </w:r>
            <w:r>
              <w:t>;</w:t>
            </w:r>
          </w:p>
          <w:p w14:paraId="0D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0E000000">
            <w:pPr>
              <w:tabs>
                <w:tab w:leader="none" w:pos="851" w:val="left"/>
              </w:tabs>
              <w:ind/>
              <w:jc w:val="both"/>
            </w:pPr>
            <w:r>
              <w:t>3.</w:t>
            </w:r>
          </w:p>
        </w:tc>
        <w:tc>
          <w:tcPr>
            <w:tcW w:type="dxa" w:w="1990"/>
          </w:tcPr>
          <w:p w14:paraId="0F000000">
            <w:r>
              <w:t>Р</w:t>
            </w:r>
            <w:r>
              <w:t>езультат предоставления субсидии</w:t>
            </w:r>
          </w:p>
        </w:tc>
        <w:tc>
          <w:tcPr>
            <w:tcW w:type="dxa" w:w="7371"/>
          </w:tcPr>
          <w:p w14:paraId="10000000">
            <w:pPr>
              <w:ind w:firstLine="708" w:left="0"/>
              <w:jc w:val="both"/>
            </w:pPr>
            <w:r>
              <w:t>Результат</w:t>
            </w:r>
            <w:r>
              <w:t>ом</w:t>
            </w:r>
            <w:r>
              <w:t xml:space="preserve"> предоставления </w:t>
            </w:r>
            <w:r>
              <w:t>субсидии</w:t>
            </w:r>
            <w:r>
              <w:t xml:space="preserve"> явля</w:t>
            </w:r>
            <w:r>
              <w:t xml:space="preserve">ется </w:t>
            </w:r>
            <w:r>
              <w:rPr>
                <w:rFonts w:ascii="Times New Roman" w:hAnsi="Times New Roman"/>
                <w:sz w:val="28"/>
              </w:rPr>
              <w:t>объе</w:t>
            </w:r>
            <w:r>
              <w:rPr>
                <w:rFonts w:ascii="Times New Roman" w:hAnsi="Times New Roman"/>
                <w:sz w:val="28"/>
              </w:rPr>
              <w:t xml:space="preserve">м топочного мазута, приобретенный получателем субсидии в 2023 году по состоянию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на 31 декабря отчетного финансового года (в натуральных показателях)</w:t>
            </w:r>
          </w:p>
          <w:p w14:paraId="11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результатов предоставления субсиди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устанавливаются соглашением.</w:t>
            </w:r>
          </w:p>
          <w:p w14:paraId="12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13000000">
            <w:pPr>
              <w:tabs>
                <w:tab w:leader="none" w:pos="851" w:val="left"/>
              </w:tabs>
              <w:ind/>
              <w:jc w:val="both"/>
            </w:pPr>
            <w:r>
              <w:t>4.</w:t>
            </w:r>
          </w:p>
        </w:tc>
        <w:tc>
          <w:tcPr>
            <w:tcW w:type="dxa" w:w="1990"/>
          </w:tcPr>
          <w:p w14:paraId="14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роведение отбора осуществляется на официальном сайте Министерства</w:t>
            </w:r>
            <w:r>
              <w:t xml:space="preserve"> жилищно-коммунального хозяйства и энергетики Камчатского края </w:t>
            </w:r>
          </w:p>
        </w:tc>
        <w:tc>
          <w:tcPr>
            <w:tcW w:type="dxa" w:w="7371"/>
          </w:tcPr>
          <w:p w14:paraId="15000000">
            <w:pPr>
              <w:tabs>
                <w:tab w:leader="none" w:pos="851" w:val="left"/>
              </w:tabs>
              <w:ind/>
              <w:jc w:val="both"/>
            </w:pPr>
            <w:r>
              <w:t>www</w:t>
            </w:r>
            <w:r>
              <w:t>.</w:t>
            </w:r>
            <w:r>
              <w:t>kamgov</w:t>
            </w:r>
            <w:r>
              <w:t>.</w:t>
            </w:r>
            <w:r>
              <w:t>ru</w:t>
            </w:r>
            <w:r>
              <w:t>/</w:t>
            </w:r>
            <w:r>
              <w:t>minzkh</w:t>
            </w:r>
            <w:r>
              <w:t xml:space="preserve"> в разделе «Текущая деятельность»</w:t>
            </w:r>
          </w:p>
        </w:tc>
      </w:tr>
      <w:tr>
        <w:tc>
          <w:tcPr>
            <w:tcW w:type="dxa" w:w="704"/>
          </w:tcPr>
          <w:p w14:paraId="16000000">
            <w:pPr>
              <w:tabs>
                <w:tab w:leader="none" w:pos="851" w:val="left"/>
              </w:tabs>
              <w:ind/>
              <w:jc w:val="both"/>
            </w:pPr>
            <w:r>
              <w:t>5.</w:t>
            </w:r>
          </w:p>
        </w:tc>
        <w:tc>
          <w:tcPr>
            <w:tcW w:type="dxa" w:w="1990"/>
          </w:tcPr>
          <w:p w14:paraId="17000000">
            <w:pPr>
              <w:tabs>
                <w:tab w:leader="none" w:pos="851" w:val="left"/>
              </w:tabs>
              <w:ind/>
            </w:pPr>
            <w:r>
              <w:t>К</w:t>
            </w:r>
            <w:r>
              <w:t>атегори</w:t>
            </w:r>
            <w:r>
              <w:t>я и требования</w:t>
            </w:r>
            <w:r>
              <w:t xml:space="preserve">, </w:t>
            </w:r>
            <w:r>
              <w:t>которым должны соответствовать</w:t>
            </w:r>
            <w:r>
              <w:t xml:space="preserve"> </w:t>
            </w:r>
            <w:r>
              <w:t xml:space="preserve">участники отбора </w:t>
            </w:r>
          </w:p>
        </w:tc>
        <w:tc>
          <w:tcPr>
            <w:tcW w:type="dxa" w:w="7371"/>
          </w:tcPr>
          <w:p w14:paraId="18000000">
            <w:pPr>
              <w:ind w:firstLine="708" w:left="0"/>
              <w:jc w:val="both"/>
            </w:pPr>
            <w:r>
              <w:rPr>
                <w:rFonts w:ascii="Times New Roman" w:hAnsi="Times New Roman"/>
                <w:sz w:val="28"/>
              </w:rPr>
              <w:t>К категории получателей субсидии относятся юридические лица, осуществляющие реализацию тепловой энергии (мощности) и (или) теплоносителя, необходимых для оказания коммунальных</w:t>
            </w:r>
            <w:r>
              <w:rPr>
                <w:rFonts w:ascii="Times New Roman" w:hAnsi="Times New Roman"/>
                <w:sz w:val="28"/>
              </w:rPr>
              <w:t xml:space="preserve"> услуг по отоплению и горячему водоснабжению населению и приравненных к нему категориям потребителей, использующих в качестве топлива топочный мазут</w:t>
            </w:r>
          </w:p>
          <w:p w14:paraId="19000000">
            <w:pPr>
              <w:tabs>
                <w:tab w:leader="none" w:pos="851" w:val="left"/>
              </w:tabs>
              <w:ind/>
              <w:jc w:val="both"/>
            </w:pPr>
            <w:r>
              <w:t xml:space="preserve"> </w:t>
            </w:r>
          </w:p>
        </w:tc>
      </w:tr>
      <w:tr>
        <w:tc>
          <w:tcPr>
            <w:tcW w:type="dxa" w:w="704"/>
          </w:tcPr>
          <w:p w14:paraId="1A000000">
            <w:pPr>
              <w:tabs>
                <w:tab w:leader="none" w:pos="851" w:val="left"/>
              </w:tabs>
              <w:ind/>
              <w:jc w:val="both"/>
            </w:pPr>
            <w:r>
              <w:t>6.</w:t>
            </w:r>
          </w:p>
        </w:tc>
        <w:tc>
          <w:tcPr>
            <w:tcW w:type="dxa" w:w="1990"/>
          </w:tcPr>
          <w:p w14:paraId="1B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окументы, которые необходимо предоставить </w:t>
            </w:r>
            <w:r>
              <w:t xml:space="preserve">для участия в отборе </w:t>
            </w:r>
          </w:p>
        </w:tc>
        <w:tc>
          <w:tcPr>
            <w:tcW w:type="dxa" w:w="7371"/>
          </w:tcPr>
          <w:p w14:paraId="1C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/>
                <w:sz w:val="28"/>
              </w:rPr>
              <w:t xml:space="preserve"> (приказ от 27.01.2022 № 20-13)</w:t>
            </w:r>
            <w:r>
              <w:rPr>
                <w:rFonts w:ascii="Times New Roman" w:hAnsi="Times New Roman"/>
                <w:sz w:val="28"/>
              </w:rPr>
              <w:t>, и должна содержать:</w:t>
            </w:r>
          </w:p>
          <w:p w14:paraId="1D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 документ, подтверждающий полномочия ли</w:t>
            </w:r>
            <w:r>
              <w:rPr>
                <w:rFonts w:ascii="Times New Roman" w:hAnsi="Times New Roman"/>
                <w:sz w:val="28"/>
              </w:rPr>
              <w:t>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 w14:paraId="1E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 согласие на размещение информации на едином портале и официальном сайте Министер</w:t>
            </w:r>
            <w:r>
              <w:rPr>
                <w:rFonts w:ascii="Times New Roman" w:hAnsi="Times New Roman"/>
                <w:sz w:val="28"/>
              </w:rPr>
              <w:t>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14:paraId="1F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справку, подписанную руководителем уча</w:t>
            </w:r>
            <w:r>
              <w:rPr>
                <w:rFonts w:ascii="Times New Roman" w:hAnsi="Times New Roman"/>
                <w:sz w:val="28"/>
              </w:rPr>
              <w:t>стника отбора, подтверждающую, что участник отбора соответствует требованиям, установленным в части 8 настоящего Порядка;</w:t>
            </w:r>
          </w:p>
          <w:p w14:paraId="20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согласованный Региональной службой по тарифам и ценам Камчатского края отчет о сумме, подлежащей возмещению из краевого бюджета теп</w:t>
            </w:r>
            <w:r>
              <w:rPr>
                <w:rFonts w:ascii="Times New Roman" w:hAnsi="Times New Roman"/>
                <w:sz w:val="28"/>
              </w:rPr>
              <w:t>лоснабжающей организации части затрат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возникших в связи с реализацией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</w:t>
            </w:r>
            <w:r>
              <w:rPr>
                <w:rFonts w:ascii="Times New Roman" w:hAnsi="Times New Roman"/>
                <w:sz w:val="28"/>
              </w:rPr>
              <w:t>категориям потребител</w:t>
            </w:r>
            <w:r>
              <w:rPr>
                <w:rFonts w:ascii="Times New Roman" w:hAnsi="Times New Roman"/>
                <w:sz w:val="28"/>
              </w:rPr>
              <w:t>ей, по льготным тарифам, установленным в результате роста цен на топочный мазут и (или) в результате изменения объема потребления топлива на цели, установленные частью 1 настоящего Порядка, по форме, согласно приложению к настоящему Порядку и следующие док</w:t>
            </w:r>
            <w:r>
              <w:rPr>
                <w:rFonts w:ascii="Times New Roman" w:hAnsi="Times New Roman"/>
                <w:sz w:val="28"/>
              </w:rPr>
              <w:t>ументы:</w:t>
            </w:r>
          </w:p>
          <w:p w14:paraId="21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справка о средневзвешенном значении территориальных биржевых индексов первичного рынка цен за 10 месяцев 2023 года и за 2022 год, рассчитанных для соответствующего внутрироссийского рынка нефтепродуктов с указанием источника информации, заверенн</w:t>
            </w:r>
            <w:r>
              <w:rPr>
                <w:rFonts w:ascii="Times New Roman" w:hAnsi="Times New Roman"/>
                <w:sz w:val="28"/>
              </w:rPr>
              <w:t xml:space="preserve">ая нотариально; </w:t>
            </w:r>
          </w:p>
          <w:p w14:paraId="22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справка о годовом объеме постав</w:t>
            </w:r>
            <w:r>
              <w:rPr>
                <w:rFonts w:ascii="Times New Roman" w:hAnsi="Times New Roman"/>
                <w:sz w:val="28"/>
              </w:rPr>
              <w:t>ок топочного мазута за 2023 год в том числе</w:t>
            </w:r>
            <w:r>
              <w:rPr>
                <w:rFonts w:ascii="Times New Roman" w:hAnsi="Times New Roman"/>
                <w:sz w:val="28"/>
              </w:rPr>
              <w:t xml:space="preserve"> необходимого для замещения природного газа, в целях оказания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коммунальных услуг по отоплению и горячему водоснабжению населению и приравненным к нему </w:t>
            </w:r>
            <w:r>
              <w:rPr>
                <w:rFonts w:ascii="Times New Roman" w:hAnsi="Times New Roman"/>
                <w:sz w:val="28"/>
              </w:rPr>
              <w:t xml:space="preserve">категориям </w:t>
            </w:r>
            <w:r>
              <w:rPr>
                <w:rFonts w:ascii="Times New Roman" w:hAnsi="Times New Roman"/>
                <w:sz w:val="28"/>
              </w:rPr>
              <w:t>потребителей, по льготным тарифам;</w:t>
            </w:r>
          </w:p>
          <w:p w14:paraId="23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справка о величине транспортных расходов по доставке топочного мазута получателя субсидии, необходимого для замещения природного газа в целях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оказания коммунальных услуг по отоплению и горячему водоснабжению населению 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и приравненным к нему </w:t>
            </w:r>
            <w:r>
              <w:rPr>
                <w:rFonts w:ascii="Times New Roman" w:hAnsi="Times New Roman"/>
                <w:sz w:val="28"/>
              </w:rPr>
              <w:t>категориям потребителей по льготным тарифам, за 2022 и 2023 годы;</w:t>
            </w:r>
          </w:p>
          <w:p w14:paraId="24000000">
            <w:pPr>
              <w:tabs>
                <w:tab w:leader="none" w:pos="851" w:val="left"/>
              </w:tabs>
              <w:ind/>
              <w:jc w:val="both"/>
            </w:pP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 xml:space="preserve">) копии документов, подтверждающих фактически произведенные затраты в 2022 и 2023 годах получателя субсидии по приобретению топочного мазута и транспортные расходы по </w:t>
            </w:r>
            <w:r>
              <w:rPr>
                <w:rFonts w:ascii="Times New Roman" w:hAnsi="Times New Roman"/>
                <w:sz w:val="28"/>
              </w:rPr>
              <w:t>его доставке (договоры, счета-фактуры, товарные накладные, платежные поручения и другие документы, подтверждающие приобретение и оплату топлива в установленном периоде).</w:t>
            </w:r>
            <w:r>
              <w:t xml:space="preserve"> </w:t>
            </w:r>
          </w:p>
        </w:tc>
      </w:tr>
      <w:tr>
        <w:tc>
          <w:tcPr>
            <w:tcW w:type="dxa" w:w="704"/>
          </w:tcPr>
          <w:p w14:paraId="25000000">
            <w:pPr>
              <w:tabs>
                <w:tab w:leader="none" w:pos="851" w:val="left"/>
              </w:tabs>
              <w:ind/>
              <w:jc w:val="both"/>
            </w:pPr>
            <w:r>
              <w:t>7.</w:t>
            </w:r>
          </w:p>
        </w:tc>
        <w:tc>
          <w:tcPr>
            <w:tcW w:type="dxa" w:w="1990"/>
          </w:tcPr>
          <w:p w14:paraId="26000000">
            <w:pPr>
              <w:tabs>
                <w:tab w:leader="none" w:pos="851" w:val="left"/>
              </w:tabs>
              <w:ind/>
            </w:pPr>
            <w:r>
              <w:t>З</w:t>
            </w:r>
            <w:r>
              <w:t>аявк</w:t>
            </w:r>
            <w:r>
              <w:t>а</w:t>
            </w:r>
            <w:r>
              <w:t xml:space="preserve"> на участие в отборе </w:t>
            </w:r>
            <w:r>
              <w:t xml:space="preserve">предоставляется </w:t>
            </w:r>
            <w:r>
              <w:t>в порядке и</w:t>
            </w:r>
            <w:r>
              <w:t xml:space="preserve"> по форме, установленной Министерством</w:t>
            </w:r>
          </w:p>
        </w:tc>
        <w:tc>
          <w:tcPr>
            <w:tcW w:type="dxa" w:w="7371"/>
          </w:tcPr>
          <w:p w14:paraId="27000000">
            <w:pPr>
              <w:tabs>
                <w:tab w:leader="none" w:pos="851" w:val="left"/>
              </w:tabs>
              <w:ind/>
              <w:jc w:val="both"/>
            </w:pPr>
            <w:r>
              <w:t>Заявка должна соответствовать форме, утвержденной приказом Министерства от 27.01.2022 № 20-13</w:t>
            </w:r>
          </w:p>
        </w:tc>
      </w:tr>
      <w:tr>
        <w:tc>
          <w:tcPr>
            <w:tcW w:type="dxa" w:w="704"/>
          </w:tcPr>
          <w:p w14:paraId="28000000">
            <w:pPr>
              <w:tabs>
                <w:tab w:leader="none" w:pos="851" w:val="left"/>
              </w:tabs>
              <w:ind/>
              <w:jc w:val="both"/>
            </w:pPr>
            <w:r>
              <w:t>8.</w:t>
            </w:r>
          </w:p>
        </w:tc>
        <w:tc>
          <w:tcPr>
            <w:tcW w:type="dxa" w:w="1990"/>
          </w:tcPr>
          <w:p w14:paraId="29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орядок отзыва заявки участником отбора </w:t>
            </w:r>
          </w:p>
        </w:tc>
        <w:tc>
          <w:tcPr>
            <w:tcW w:type="dxa" w:w="7371"/>
          </w:tcPr>
          <w:p w14:paraId="2A000000">
            <w:pPr>
              <w:tabs>
                <w:tab w:leader="none" w:pos="851" w:val="left"/>
              </w:tabs>
              <w:ind/>
              <w:jc w:val="both"/>
            </w:pPr>
            <w: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</w:t>
            </w:r>
            <w:r>
              <w:t xml:space="preserve"> в период проведения отбора</w:t>
            </w:r>
            <w:r>
              <w:t xml:space="preserve"> уведомления об отзыве заявки.</w:t>
            </w:r>
          </w:p>
        </w:tc>
      </w:tr>
      <w:tr>
        <w:tc>
          <w:tcPr>
            <w:tcW w:type="dxa" w:w="704"/>
          </w:tcPr>
          <w:p w14:paraId="2B000000">
            <w:pPr>
              <w:tabs>
                <w:tab w:leader="none" w:pos="851" w:val="left"/>
              </w:tabs>
              <w:ind/>
              <w:jc w:val="both"/>
            </w:pPr>
            <w:r>
              <w:t>9.</w:t>
            </w:r>
          </w:p>
        </w:tc>
        <w:tc>
          <w:tcPr>
            <w:tcW w:type="dxa" w:w="1990"/>
          </w:tcPr>
          <w:p w14:paraId="2C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уведомления участников отбора об отклонении заявок </w:t>
            </w:r>
          </w:p>
        </w:tc>
        <w:tc>
          <w:tcPr>
            <w:tcW w:type="dxa" w:w="7371"/>
          </w:tcPr>
          <w:p w14:paraId="2D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отклонения заявки Министерство в течение пяти рабочих дней со дня принятия решения об отклонении заявки направляет посредством почтового отправления или на адрес электронной почты, или и</w:t>
            </w:r>
            <w:r>
              <w:rPr>
                <w:rFonts w:ascii="Times New Roman" w:hAnsi="Times New Roman"/>
                <w:sz w:val="28"/>
              </w:rPr>
              <w:t>ным способом, обеспечивающим подтверждение получения, участнику отбора уведомление об отклонении заявки с указанием оснований принятия такого решения в соответствии с частью 24  Порядка.</w:t>
            </w:r>
          </w:p>
        </w:tc>
      </w:tr>
      <w:tr>
        <w:tc>
          <w:tcPr>
            <w:tcW w:type="dxa" w:w="704"/>
          </w:tcPr>
          <w:p w14:paraId="2E000000">
            <w:pPr>
              <w:tabs>
                <w:tab w:leader="none" w:pos="851" w:val="left"/>
              </w:tabs>
              <w:ind/>
              <w:jc w:val="both"/>
            </w:pPr>
            <w:r>
              <w:t>10.</w:t>
            </w:r>
          </w:p>
        </w:tc>
        <w:tc>
          <w:tcPr>
            <w:tcW w:type="dxa" w:w="1990"/>
          </w:tcPr>
          <w:p w14:paraId="2F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внесения изменений в заявки </w:t>
            </w:r>
          </w:p>
        </w:tc>
        <w:tc>
          <w:tcPr>
            <w:tcW w:type="dxa" w:w="7371"/>
          </w:tcPr>
          <w:p w14:paraId="30000000">
            <w:pPr>
              <w:ind/>
              <w:jc w:val="both"/>
            </w:pPr>
            <w:r>
              <w:t>Внесение изменений в заявку</w:t>
            </w:r>
            <w:r>
              <w:t xml:space="preserve"> </w:t>
            </w:r>
            <w:r>
              <w:t>осуществляется путем направления необходимых сведений в Министерство</w:t>
            </w:r>
            <w:r>
              <w:t xml:space="preserve"> в период проведения отбора</w:t>
            </w:r>
            <w:r>
              <w:t>.</w:t>
            </w:r>
          </w:p>
          <w:p w14:paraId="31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32000000">
            <w:pPr>
              <w:tabs>
                <w:tab w:leader="none" w:pos="851" w:val="left"/>
              </w:tabs>
              <w:ind/>
              <w:jc w:val="both"/>
            </w:pPr>
            <w:r>
              <w:t>11.</w:t>
            </w:r>
          </w:p>
        </w:tc>
        <w:tc>
          <w:tcPr>
            <w:tcW w:type="dxa" w:w="1990"/>
          </w:tcPr>
          <w:p w14:paraId="33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равила</w:t>
            </w:r>
            <w:r>
              <w:t xml:space="preserve"> рассмотрения и оценки заявок </w:t>
            </w:r>
          </w:p>
        </w:tc>
        <w:tc>
          <w:tcPr>
            <w:tcW w:type="dxa" w:w="7371"/>
          </w:tcPr>
          <w:p w14:paraId="34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Победителем отбора признается участник отбора, чья заявка </w:t>
            </w:r>
            <w:r>
              <w:rPr>
                <w:rFonts w:ascii="Times New Roman" w:hAnsi="Times New Roman"/>
                <w:sz w:val="28"/>
              </w:rPr>
              <w:t>соответствует требованиям, установленным частью 9 Порядка, а участник отбора при этом соответствует категории и требованиям, установленным частями 7 и 8  Порядка.</w:t>
            </w:r>
          </w:p>
        </w:tc>
      </w:tr>
      <w:tr>
        <w:tc>
          <w:tcPr>
            <w:tcW w:type="dxa" w:w="704"/>
          </w:tcPr>
          <w:p w14:paraId="35000000">
            <w:pPr>
              <w:tabs>
                <w:tab w:leader="none" w:pos="851" w:val="left"/>
              </w:tabs>
              <w:ind/>
              <w:jc w:val="both"/>
            </w:pPr>
            <w:r>
              <w:t>12.</w:t>
            </w:r>
          </w:p>
        </w:tc>
        <w:tc>
          <w:tcPr>
            <w:tcW w:type="dxa" w:w="1990"/>
          </w:tcPr>
          <w:p w14:paraId="36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>
              <w:t xml:space="preserve">предоставления </w:t>
            </w:r>
          </w:p>
        </w:tc>
        <w:tc>
          <w:tcPr>
            <w:tcW w:type="dxa" w:w="7371"/>
          </w:tcPr>
          <w:p w14:paraId="37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  <w:shd w:fill="FFE779" w:val="clear"/>
              </w:rPr>
            </w:pPr>
            <w:r>
              <w:rPr>
                <w:rFonts w:ascii="Times New Roman" w:hAnsi="Times New Roman"/>
                <w:sz w:val="28"/>
              </w:rPr>
              <w:t xml:space="preserve">Не позднее чем за два рабочих дня </w:t>
            </w:r>
            <w:r>
              <w:rPr>
                <w:rFonts w:ascii="Times New Roman" w:hAnsi="Times New Roman"/>
                <w:sz w:val="28"/>
              </w:rPr>
              <w:t>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      </w:r>
          </w:p>
          <w:p w14:paraId="38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  <w:shd w:fill="FFE779" w:val="clear"/>
              </w:rPr>
            </w:pPr>
            <w:r>
              <w:rPr>
                <w:rFonts w:ascii="Times New Roman" w:hAnsi="Times New Roman"/>
                <w:sz w:val="28"/>
              </w:rPr>
              <w:t>Министерство в течение двух рабочих дн</w:t>
            </w:r>
            <w:r>
              <w:rPr>
                <w:rFonts w:ascii="Times New Roman" w:hAnsi="Times New Roman"/>
                <w:sz w:val="28"/>
              </w:rPr>
              <w:t xml:space="preserve">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 </w:t>
            </w:r>
          </w:p>
          <w:p w14:paraId="39000000">
            <w:pPr>
              <w:tabs>
                <w:tab w:leader="none" w:pos="993" w:val="left"/>
              </w:tabs>
              <w:spacing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  <w:shd w:fill="FFE779" w:val="clear"/>
              </w:rPr>
            </w:pPr>
            <w:r>
              <w:rPr>
                <w:rFonts w:ascii="Times New Roman" w:hAnsi="Times New Roman"/>
                <w:sz w:val="28"/>
              </w:rPr>
              <w:t>Запросы, поступившие поз</w:t>
            </w:r>
            <w:r>
              <w:rPr>
                <w:rFonts w:ascii="Times New Roman" w:hAnsi="Times New Roman"/>
                <w:sz w:val="28"/>
              </w:rPr>
              <w:t>днее чем за два рабочих дня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  <w:p w14:paraId="3A000000">
            <w:pPr>
              <w:pStyle w:val="Style_3"/>
              <w:ind w:firstLine="0" w:left="0"/>
              <w:jc w:val="both"/>
            </w:pPr>
          </w:p>
        </w:tc>
      </w:tr>
      <w:tr>
        <w:tc>
          <w:tcPr>
            <w:tcW w:type="dxa" w:w="704"/>
          </w:tcPr>
          <w:p w14:paraId="3B000000">
            <w:pPr>
              <w:tabs>
                <w:tab w:leader="none" w:pos="851" w:val="left"/>
              </w:tabs>
              <w:ind/>
              <w:jc w:val="both"/>
            </w:pPr>
            <w:r>
              <w:t>13.</w:t>
            </w:r>
          </w:p>
        </w:tc>
        <w:tc>
          <w:tcPr>
            <w:tcW w:type="dxa" w:w="1990"/>
          </w:tcPr>
          <w:p w14:paraId="3C000000">
            <w:pPr>
              <w:tabs>
                <w:tab w:leader="none" w:pos="851" w:val="left"/>
              </w:tabs>
              <w:ind/>
            </w:pPr>
            <w:r>
              <w:t>С</w:t>
            </w:r>
            <w:r>
              <w:t>рок</w:t>
            </w:r>
            <w:r>
              <w:t>и</w:t>
            </w:r>
            <w:r>
              <w:t xml:space="preserve"> подписания победителем (победителями) отбора соглашения о </w:t>
            </w:r>
            <w:r>
              <w:t xml:space="preserve">предоставлении </w:t>
            </w:r>
            <w:r>
              <w:t>субсидии</w:t>
            </w:r>
            <w:r>
              <w:t xml:space="preserve"> (далее – соглашение) </w:t>
            </w:r>
          </w:p>
        </w:tc>
        <w:tc>
          <w:tcPr>
            <w:tcW w:type="dxa" w:w="7371"/>
          </w:tcPr>
          <w:p w14:paraId="3D000000">
            <w:pPr>
              <w:tabs>
                <w:tab w:leader="none" w:pos="1134" w:val="left"/>
              </w:tabs>
              <w:ind/>
              <w:jc w:val="both"/>
            </w:pPr>
            <w:r>
              <w:t>Победитель отбора, которому направлен для подписания проект соглашения, в течение двух рабочих дней со дня получения проекта соглашения подписывает его и направляет для подписания в Министерство.</w:t>
            </w:r>
          </w:p>
        </w:tc>
      </w:tr>
      <w:tr>
        <w:tc>
          <w:tcPr>
            <w:tcW w:type="dxa" w:w="704"/>
          </w:tcPr>
          <w:p w14:paraId="3E000000">
            <w:pPr>
              <w:tabs>
                <w:tab w:leader="none" w:pos="851" w:val="left"/>
              </w:tabs>
              <w:ind/>
              <w:jc w:val="both"/>
            </w:pPr>
            <w:r>
              <w:t>14.</w:t>
            </w:r>
          </w:p>
        </w:tc>
        <w:tc>
          <w:tcPr>
            <w:tcW w:type="dxa" w:w="1990"/>
          </w:tcPr>
          <w:p w14:paraId="3F000000">
            <w:pPr>
              <w:tabs>
                <w:tab w:leader="none" w:pos="851" w:val="left"/>
              </w:tabs>
              <w:ind/>
            </w:pPr>
            <w:r>
              <w:t>У</w:t>
            </w:r>
            <w:r>
              <w:t>словия</w:t>
            </w:r>
            <w:r>
              <w:t xml:space="preserve"> признания победителя (победителей) отбора уклонившимся (уклонившимися) от </w:t>
            </w:r>
            <w:r>
              <w:t xml:space="preserve">заключения соглашения </w:t>
            </w:r>
          </w:p>
        </w:tc>
        <w:tc>
          <w:tcPr>
            <w:tcW w:type="dxa" w:w="7371"/>
          </w:tcPr>
          <w:p w14:paraId="40000000">
            <w:pPr>
              <w:tabs>
                <w:tab w:leader="none" w:pos="1134" w:val="left"/>
              </w:tabs>
              <w:ind/>
              <w:jc w:val="both"/>
            </w:pPr>
            <w:r>
              <w:t>В случае невыполнения победителем отбора порядка подписания соглашения, установленного частью</w:t>
            </w:r>
            <w:r>
              <w:t xml:space="preserve"> 28 Порядка</w:t>
            </w:r>
            <w:r>
              <w:t>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c>
          <w:tcPr>
            <w:tcW w:type="dxa" w:w="704"/>
          </w:tcPr>
          <w:p w14:paraId="41000000">
            <w:pPr>
              <w:tabs>
                <w:tab w:leader="none" w:pos="851" w:val="left"/>
              </w:tabs>
              <w:ind/>
              <w:jc w:val="both"/>
            </w:pPr>
            <w:r>
              <w:t>15.</w:t>
            </w:r>
          </w:p>
        </w:tc>
        <w:tc>
          <w:tcPr>
            <w:tcW w:type="dxa" w:w="1990"/>
          </w:tcPr>
          <w:p w14:paraId="42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>ат</w:t>
            </w:r>
            <w:r>
              <w:t>а</w:t>
            </w:r>
            <w:r>
              <w:t xml:space="preserve"> размещения результатов </w:t>
            </w:r>
            <w:r>
              <w:t xml:space="preserve">отбора на едином портале и на официальном сайте Министерства </w:t>
            </w:r>
          </w:p>
        </w:tc>
        <w:tc>
          <w:tcPr>
            <w:tcW w:type="dxa" w:w="7371"/>
          </w:tcPr>
          <w:p w14:paraId="43000000">
            <w:pPr>
              <w:pStyle w:val="Style_3"/>
              <w:tabs>
                <w:tab w:leader="none" w:pos="993" w:val="left"/>
              </w:tabs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22.01.2024</w:t>
            </w:r>
          </w:p>
          <w:p w14:paraId="4400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в срок не позднее десяти рабочих дней со д</w:t>
            </w:r>
            <w:r>
              <w:rPr>
                <w:rFonts w:ascii="Times New Roman" w:hAnsi="Times New Roman"/>
                <w:sz w:val="28"/>
              </w:rPr>
              <w:t xml:space="preserve">ня завершения отбора размещает на едином портале и на официальном сайте Министерства информацию о результатах отбора, включающую: </w:t>
            </w:r>
          </w:p>
          <w:p w14:paraId="45000000">
            <w:pPr>
              <w:widowControl w:val="0"/>
              <w:tabs>
                <w:tab w:leader="none" w:pos="1134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дату, время и место проведения рассмотрения заявок;</w:t>
            </w:r>
          </w:p>
          <w:p w14:paraId="46000000">
            <w:pPr>
              <w:widowControl w:val="0"/>
              <w:tabs>
                <w:tab w:leader="none" w:pos="1134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информацию об участниках отбора, заявки которых были рассмотрены;</w:t>
            </w:r>
          </w:p>
          <w:p w14:paraId="47000000">
            <w:pPr>
              <w:widowControl w:val="0"/>
              <w:tabs>
                <w:tab w:leader="none" w:pos="1134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      </w:r>
          </w:p>
          <w:p w14:paraId="48000000">
            <w:pPr>
              <w:pStyle w:val="Style_3"/>
              <w:ind w:firstLine="540" w:left="0"/>
              <w:jc w:val="both"/>
            </w:pPr>
            <w:r>
              <w:rPr>
                <w:rFonts w:ascii="Times New Roman" w:hAnsi="Times New Roman"/>
                <w:sz w:val="28"/>
              </w:rPr>
              <w:t xml:space="preserve">4) </w:t>
            </w:r>
            <w:r>
              <w:rPr>
                <w:rFonts w:ascii="Times New Roman" w:hAnsi="Times New Roman"/>
                <w:color w:val="151515"/>
                <w:sz w:val="28"/>
              </w:rPr>
              <w:t>наименование получателя субсидии, с которым заключается соглашение, и размер пре</w:t>
            </w:r>
            <w:r>
              <w:rPr>
                <w:rFonts w:ascii="Times New Roman" w:hAnsi="Times New Roman"/>
                <w:color w:val="151515"/>
                <w:sz w:val="28"/>
              </w:rPr>
              <w:t>доставляемой ему субсидии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/>
    <w:p w14:paraId="55000000"/>
    <w:p w14:paraId="56000000"/>
    <w:p w14:paraId="57000000"/>
    <w:p w14:paraId="58000000"/>
    <w:p w14:paraId="59000000"/>
    <w:p w14:paraId="5A000000"/>
    <w:p w14:paraId="5B000000"/>
    <w:p w14:paraId="5C000000"/>
    <w:p w14:paraId="5D000000">
      <w:bookmarkStart w:id="1" w:name="_GoBack"/>
      <w:bookmarkEnd w:id="1"/>
    </w:p>
    <w:sectPr>
      <w:pgSz w:h="16838" w:orient="portrait" w:w="11906"/>
      <w:pgMar w:bottom="1134" w:footer="708" w:gutter="0" w:header="708" w:left="1134" w:right="70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1"/>
    <w:link w:val="Style_14_ch"/>
    <w:rPr>
      <w:color w:themeColor="hyperlink" w:val="0563C1"/>
      <w:u w:val="single"/>
    </w:rPr>
  </w:style>
  <w:style w:styleId="Style_14_ch" w:type="character">
    <w:name w:val="Hyperlink"/>
    <w:basedOn w:val="Style_11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Plain Text"/>
    <w:basedOn w:val="Style_4"/>
    <w:link w:val="Style_19_ch"/>
    <w:rPr>
      <w:rFonts w:ascii="Calibri" w:hAnsi="Calibri"/>
      <w:sz w:val="22"/>
    </w:rPr>
  </w:style>
  <w:style w:styleId="Style_19_ch" w:type="character">
    <w:name w:val="Plain Text"/>
    <w:basedOn w:val="Style_4_ch"/>
    <w:link w:val="Style_19"/>
    <w:rPr>
      <w:rFonts w:ascii="Calibri" w:hAnsi="Calibri"/>
      <w:sz w:val="22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4_ch"/>
    <w:link w:val="Style_23"/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2023-12-26T22:18:52Z</dcterms:modified>
</cp:coreProperties>
</file>