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4" w:rsidRDefault="009F37C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Объявление</w:t>
      </w:r>
    </w:p>
    <w:p w:rsidR="004C5F14" w:rsidRDefault="009F37C4">
      <w:pPr>
        <w:jc w:val="center"/>
      </w:pPr>
      <w:r>
        <w:t xml:space="preserve">о проведении отбора </w:t>
      </w:r>
      <w:r>
        <w:t>получателей из краевого бюджета</w:t>
      </w:r>
    </w:p>
    <w:p w:rsidR="004C5F14" w:rsidRDefault="009F37C4">
      <w:pPr>
        <w:jc w:val="center"/>
      </w:pPr>
      <w:r>
        <w:t xml:space="preserve">субсидий </w:t>
      </w:r>
      <w:r>
        <w:t>ю</w:t>
      </w:r>
      <w:r>
        <w:t>ридическим лицам,</w:t>
      </w:r>
    </w:p>
    <w:p w:rsidR="004C5F14" w:rsidRDefault="009F37C4">
      <w:pPr>
        <w:jc w:val="center"/>
      </w:pPr>
      <w:r>
        <w:t xml:space="preserve">определенным в качестве </w:t>
      </w:r>
      <w:r>
        <w:t>заказчика восстановительных работ объектов инженерной инфраструктуры на территориях Донецкой Народной</w:t>
      </w:r>
      <w:r>
        <w:t xml:space="preserve"> Республики </w:t>
      </w:r>
      <w:r>
        <w:t xml:space="preserve"> </w:t>
      </w:r>
      <w:r>
        <w:br/>
      </w:r>
    </w:p>
    <w:p w:rsidR="004C5F14" w:rsidRDefault="004C5F14">
      <w:pPr>
        <w:jc w:val="center"/>
      </w:pPr>
    </w:p>
    <w:p w:rsidR="004C5F14" w:rsidRDefault="009F37C4">
      <w:pPr>
        <w:jc w:val="both"/>
      </w:pPr>
      <w:r>
        <w:t xml:space="preserve"> </w:t>
      </w:r>
    </w:p>
    <w:p w:rsidR="004C5F14" w:rsidRDefault="009F37C4">
      <w:pPr>
        <w:jc w:val="both"/>
      </w:pPr>
      <w:r>
        <w:t>Министерством жилищно-коммунального хозяйства и энергетики Камчатского края (д</w:t>
      </w:r>
      <w:r>
        <w:t>алее – Министерство) объявлен отбор получателей из краевого бюджета субсидий юридическим лицам, определенным в качестве заказчика восстановительных работ объектов инженерной инфраструктуры на территориях Донецкой Народной Республики – г. Светлодарска и пгт</w:t>
      </w:r>
      <w:r>
        <w:t>. Мироновское решением оперативного штаба Камчатского края по вопросам обеспечения жизнедеятельности и безопасности населения, восстановления объектов инфраструктуры на территориях, нуждающихся в обеспечении жизнедеятельности и безопасности населения, восс</w:t>
      </w:r>
      <w:r>
        <w:t>тановлении объектов инфраструктуры на финансовое обеспечение затрат, связанных с реализацией мероприятия, в рамках специального инфраструктурного проекта, проводимый в соответствии с Порядком пр</w:t>
      </w:r>
      <w:bookmarkStart w:id="0" w:name="_GoBack"/>
      <w:bookmarkEnd w:id="0"/>
      <w:r>
        <w:t>едоставления из краевого бюджета субсидий юридическим лицам на</w:t>
      </w:r>
      <w:r>
        <w:t xml:space="preserve"> финансовое обеспечение затрат, связанных с реализацией мероприятий, в рамках специального инфраструктурного проекта, </w:t>
      </w:r>
      <w:r>
        <w:t xml:space="preserve">утвержденным постановлением Правительства Камчатского края от 05.07.2023 № </w:t>
      </w:r>
      <w:r>
        <w:t>375-</w:t>
      </w:r>
      <w:r>
        <w:t>П «Об отдельных мерах по реализации Соглашения о сотрудниче</w:t>
      </w:r>
      <w:r>
        <w:t>стве между администрацией города Дебальцево Донецкой Народной Республики и Камчатским краем» (далее – Порядок).</w:t>
      </w:r>
    </w:p>
    <w:p w:rsidR="004C5F14" w:rsidRDefault="004C5F14">
      <w:pPr>
        <w:tabs>
          <w:tab w:val="left" w:pos="851"/>
        </w:tabs>
        <w:ind w:firstLine="709"/>
        <w:jc w:val="both"/>
      </w:pPr>
    </w:p>
    <w:tbl>
      <w:tblPr>
        <w:tblStyle w:val="aff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2"/>
        <w:gridCol w:w="1992"/>
        <w:gridCol w:w="7371"/>
      </w:tblGrid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</w:pPr>
            <w:r>
              <w:t>Срок проведения отбора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с 07.07.2023 по 12.07.2023 (включительно)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2.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Дата начала подачи приема заявок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07.07.2023;</w:t>
            </w:r>
          </w:p>
          <w:p w:rsidR="004C5F14" w:rsidRDefault="004C5F14">
            <w:pPr>
              <w:widowControl w:val="0"/>
              <w:tabs>
                <w:tab w:val="left" w:pos="851"/>
              </w:tabs>
              <w:jc w:val="both"/>
            </w:pP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3.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</w:pPr>
            <w:r>
              <w:t>Результат предоставления субсидии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jc w:val="both"/>
              <w:rPr>
                <w:szCs w:val="28"/>
              </w:rPr>
            </w:pPr>
            <w:r>
              <w:t>Результами предоставления субсидии являются:</w:t>
            </w:r>
          </w:p>
          <w:p w:rsidR="004C5F14" w:rsidRDefault="009F37C4">
            <w:pPr>
              <w:widowControl w:val="0"/>
              <w:jc w:val="both"/>
              <w:rPr>
                <w:szCs w:val="28"/>
              </w:rPr>
            </w:pPr>
            <w:r>
              <w:t>1) при выполнении работ и (или) оказании услуг по капитальному ремонту, текцущему ремонту инженерных сетей, объектов систем питьевого водоснабжения, водоотведения, теплоснабжени</w:t>
            </w:r>
            <w:r>
              <w:t>я, газоснабжения, зданий и сооружений административно-хозяйственного и вспомогательного производства – количество отремонтированных инженерных сетей, объектов систем питьевого водоснабжения, водоотведения, теплоснабжения, газоснабжения, зданий и сооружений</w:t>
            </w:r>
            <w:r>
              <w:t xml:space="preserve"> административно-хозяйственного и вспомогательного производства (километров, штук);</w:t>
            </w:r>
          </w:p>
          <w:p w:rsidR="004C5F14" w:rsidRDefault="009F37C4">
            <w:pPr>
              <w:widowControl w:val="0"/>
              <w:jc w:val="both"/>
              <w:rPr>
                <w:szCs w:val="28"/>
              </w:rPr>
            </w:pPr>
            <w:r>
              <w:t xml:space="preserve">2) при приобретении материалов и изделий для проведения </w:t>
            </w:r>
            <w:r>
              <w:lastRenderedPageBreak/>
              <w:t>ремонтных работ по капитальному ремонту, текцущему ремонту инженерных сетей, объектов систем питьевого водоснабжения</w:t>
            </w:r>
            <w:r>
              <w:t>, водоотведения, теплоснабжения, газоснабжения, зданий и сооружений административно-хозяйственного и вспомогательного производства – количество приобретенных материалов и изделий для проведения ремонтных работ инженерной инфраструктуры (штук, единиц, погон</w:t>
            </w:r>
            <w:r>
              <w:t>ных метров);</w:t>
            </w:r>
          </w:p>
          <w:p w:rsidR="004C5F14" w:rsidRDefault="009F37C4">
            <w:pPr>
              <w:widowControl w:val="0"/>
              <w:jc w:val="both"/>
              <w:rPr>
                <w:szCs w:val="28"/>
              </w:rPr>
            </w:pPr>
            <w:r>
              <w:t>3) при разработке проектной и сметной документации – количество разработанных проектных и сметных документаций (штук);</w:t>
            </w:r>
          </w:p>
          <w:p w:rsidR="004C5F14" w:rsidRDefault="009F37C4">
            <w:pPr>
              <w:widowControl w:val="0"/>
              <w:jc w:val="both"/>
              <w:rPr>
                <w:szCs w:val="28"/>
              </w:rPr>
            </w:pPr>
            <w:r>
              <w:t xml:space="preserve">4) на содержание службы заказчика (оказание услуг по строительному контролю) – количество заключенных договоров на оказание </w:t>
            </w:r>
            <w:r>
              <w:t xml:space="preserve">услуг по строительному контролю Мероприятий (по капитальному ремонту ВНС № 1 </w:t>
            </w:r>
            <w:r>
              <w:br/>
              <w:t>г. Светлодарска, капитальному ремонту водозабора г. Светлодарска, капитальному ремонту КНС № 1 г. Светлодарска, капитальному ремонту участка подачи ХВС г. Светлодарска). В отноше</w:t>
            </w:r>
            <w:r>
              <w:t>нии каждого мероприятия может быть заключен как отдельный договор, так и один договор на несколько мероприятий (штук).</w:t>
            </w:r>
          </w:p>
          <w:p w:rsidR="004C5F14" w:rsidRDefault="004C5F14">
            <w:pPr>
              <w:widowControl w:val="0"/>
              <w:tabs>
                <w:tab w:val="left" w:pos="851"/>
              </w:tabs>
              <w:jc w:val="both"/>
            </w:pP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lastRenderedPageBreak/>
              <w:t>4.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Проведение отбора осуществляется на официальном сайте Министерства жилищно-коммунального хозяйства и энергетики Камчатского края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ww</w:t>
            </w:r>
            <w:r>
              <w:t>w.kamgov.ru/minzkh в разделе «Текущая деятельность»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5.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Категория и требования, которым должны соответствовать участники отбора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jc w:val="both"/>
            </w:pPr>
            <w:r>
              <w:t xml:space="preserve">К категории получателей субсидий относятся юридические лица, определенные в качестве заказчика восстановительных работ </w:t>
            </w:r>
            <w:r>
              <w:t>объектов инженерной инфраструктуры на территориях Донецкой Народной Республики – г. Светлодарска и пгт. Мироновское решением оперативного штаба Камчатского края по вопросам обеспечения жизнедеятельности и безопасности населения, восстановления объектов инф</w:t>
            </w:r>
            <w:r>
              <w:t xml:space="preserve">раструктуры на территориях, нуждающихся в обеспечении жизнедеятельности и безопасности населения, </w:t>
            </w:r>
            <w:r>
              <w:lastRenderedPageBreak/>
              <w:t>восстановлении объектов инфраструктуры</w:t>
            </w:r>
          </w:p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 xml:space="preserve"> 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lastRenderedPageBreak/>
              <w:t>6.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Документы, которые необходимо предоставить для участия в отборе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Заявка оформляется по форме, утвержденной Минист</w:t>
            </w:r>
            <w:r>
              <w:rPr>
                <w:rFonts w:ascii="Times New Roman" w:hAnsi="Times New Roman"/>
                <w:sz w:val="28"/>
              </w:rPr>
              <w:t>ерством (приказ от 27.01.2022 № 20-13), и должна содержать:</w:t>
            </w:r>
          </w:p>
          <w:p w:rsidR="004C5F14" w:rsidRDefault="009F37C4">
            <w:pPr>
              <w:widowControl w:val="0"/>
              <w:ind w:firstLine="540"/>
              <w:jc w:val="both"/>
            </w:pPr>
            <w:r>
              <w:t>1) следующие сведения и документы об участнике отбора, подавшем заявку:</w:t>
            </w:r>
          </w:p>
          <w:p w:rsidR="004C5F14" w:rsidRDefault="009F37C4">
            <w:pPr>
              <w:widowControl w:val="0"/>
              <w:ind w:firstLine="540"/>
              <w:jc w:val="both"/>
            </w:pPr>
            <w:r>
              <w:t>а) полное наименование, сведения об организационно-правовой форме, месте нахождения, адресе места нахождения, адресе электро</w:t>
            </w:r>
            <w:r>
              <w:t>нной почты;</w:t>
            </w:r>
          </w:p>
          <w:p w:rsidR="004C5F14" w:rsidRDefault="009F37C4">
            <w:pPr>
              <w:widowControl w:val="0"/>
              <w:ind w:firstLine="540"/>
              <w:jc w:val="both"/>
            </w:pPr>
            <w:r>
              <w:t>б)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      </w:r>
          </w:p>
          <w:p w:rsidR="004C5F14" w:rsidRDefault="009F37C4">
            <w:pPr>
              <w:widowControl w:val="0"/>
              <w:ind w:firstLine="540"/>
              <w:jc w:val="both"/>
            </w:pPr>
            <w:r>
              <w:t>в) согласие на размещение на едином портале и официальном сайте Министерства информации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</w:t>
            </w:r>
            <w:r>
              <w:t>ра, связанной с соответствующим отбором;</w:t>
            </w:r>
          </w:p>
          <w:p w:rsidR="004C5F14" w:rsidRDefault="009F37C4">
            <w:pPr>
              <w:widowControl w:val="0"/>
              <w:ind w:firstLine="540"/>
              <w:jc w:val="both"/>
              <w:rPr>
                <w:highlight w:val="white"/>
              </w:rPr>
            </w:pPr>
            <w:r>
              <w:t>2) справку, подписанную руководителем участника отбора, подтверждающую, что участник отбора соответствует условиям, установленным пунктом 1 части 10 Порядка.</w:t>
            </w:r>
          </w:p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 xml:space="preserve"> 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7.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>Заявка на участие в отборе предоставляется в порядк</w:t>
            </w:r>
            <w:r>
              <w:t>е и по форме, установленной Министерством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Заявка должна соответствовать форме, утвержденной приказом Министерства от 27.01.2022 № 20-13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8.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Порядок отзыва заявки участником отбора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Заявка может быть отозвана в срок, не позднее 2 рабочих дней до окончания срока приема заявок. Отзыв заявки осуществляется путем направления в Министерство в период проведения отбора уведомления об отзыве заявки.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9.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>Порядок уведомления участников отбора о</w:t>
            </w:r>
            <w:r>
              <w:t xml:space="preserve">б отклонении заявок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 xml:space="preserve">В случае отклонения заявок Министерство в течение 5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r>
              <w:rPr>
                <w:color w:val="000000" w:themeColor="text1"/>
              </w:rPr>
              <w:t xml:space="preserve">частью 26 </w:t>
            </w:r>
            <w:r>
              <w:t>Порядка.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lastRenderedPageBreak/>
              <w:t>10.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Порядок внесения изменений в заявки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jc w:val="both"/>
            </w:pPr>
            <w:r>
              <w:t>Внесение изменений в заявку осуществляется путем направления необходимых сведений в Министерство в период проведения отбора.</w:t>
            </w:r>
          </w:p>
          <w:p w:rsidR="004C5F14" w:rsidRDefault="004C5F14">
            <w:pPr>
              <w:widowControl w:val="0"/>
              <w:tabs>
                <w:tab w:val="left" w:pos="851"/>
              </w:tabs>
              <w:jc w:val="both"/>
            </w:pP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11.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Правила рассмотрения и оценки заявок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jc w:val="both"/>
            </w:pPr>
            <w:r>
              <w:t>Победителем отбора признается участник отбора,</w:t>
            </w:r>
            <w:r>
              <w:t xml:space="preserve"> чья  заявка соответствует  требованиям, установленным </w:t>
            </w:r>
            <w:r>
              <w:rPr>
                <w:color w:val="000000" w:themeColor="text1"/>
              </w:rPr>
              <w:t xml:space="preserve">11 </w:t>
            </w:r>
            <w:r>
              <w:t xml:space="preserve">Порядка, а участник  отбора при этом соответствует категории и требованиям, установленным </w:t>
            </w:r>
            <w:r>
              <w:rPr>
                <w:color w:val="000000" w:themeColor="text1"/>
              </w:rPr>
              <w:t>9 и 10</w:t>
            </w:r>
            <w:r>
              <w:t xml:space="preserve"> Порядка.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12.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Порядок предоставления участникам отбора разъяснений положений объявления о проведении </w:t>
            </w:r>
            <w:r>
              <w:t xml:space="preserve">отбора, даты начала и окончания срока такого предоставления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позднее чем за 2 рабочих дня 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</w:t>
            </w:r>
            <w:r>
              <w:rPr>
                <w:rFonts w:ascii="Times New Roman" w:hAnsi="Times New Roman"/>
                <w:sz w:val="28"/>
              </w:rPr>
              <w:t>занием адреса электронной почты для направления ответа.</w:t>
            </w:r>
          </w:p>
          <w:p w:rsidR="004C5F14" w:rsidRDefault="009F37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в течение 2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</w:t>
            </w:r>
            <w:r>
              <w:rPr>
                <w:rFonts w:ascii="Times New Roman" w:hAnsi="Times New Roman"/>
                <w:sz w:val="28"/>
              </w:rPr>
              <w:t>(положений объявления) по отбору не должно изменять ее суть.</w:t>
            </w:r>
          </w:p>
          <w:p w:rsidR="004C5F14" w:rsidRDefault="009F37C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/>
                <w:sz w:val="28"/>
              </w:rPr>
              <w:t>Запросы, поступившие позднее чем за 2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13.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Сроки подписания победителем (победителями) отбора соглашения о предоставлении субсидии (далее – соглашение)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1134"/>
              </w:tabs>
              <w:jc w:val="both"/>
            </w:pPr>
            <w:r>
              <w:t>Победитель отбора, которому направлен для подписания проект соглашения, в течение 10 рабочих дней со дня получения уведомления о формировании согл</w:t>
            </w:r>
            <w:r>
              <w:t>ашения в ГИИС “Электронный бюджет” подписывает соглашение усиленной квалифицированной электронной подписью в ГИИС “Электронный бюджет”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14.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Условия признания победителя (победителей) отбора уклонившимся (уклонившимися) от заключения соглашения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1134"/>
              </w:tabs>
              <w:jc w:val="both"/>
            </w:pPr>
            <w:r>
              <w:t>В случае не</w:t>
            </w:r>
            <w:r>
              <w:t>выполнения победителем отбора порядка подписания соглашения, установленного частью 31 Порядка, победитель отбора признается уклонившимся от заключения соглашения.</w:t>
            </w:r>
          </w:p>
        </w:tc>
      </w:tr>
      <w:tr w:rsidR="004C5F14"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  <w:jc w:val="both"/>
            </w:pPr>
            <w:r>
              <w:t>15.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widowControl w:val="0"/>
              <w:tabs>
                <w:tab w:val="left" w:pos="851"/>
              </w:tabs>
            </w:pPr>
            <w:r>
              <w:t xml:space="preserve">Дата размещения </w:t>
            </w:r>
            <w:r>
              <w:lastRenderedPageBreak/>
              <w:t>результатов отбора на едином портале и на официальном сайте Министерства</w:t>
            </w:r>
            <w:r>
              <w:t xml:space="preserve"> 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14" w:rsidRDefault="009F37C4">
            <w:pPr>
              <w:pStyle w:val="ConsPlusNormal"/>
              <w:tabs>
                <w:tab w:val="left" w:pos="993"/>
              </w:tabs>
              <w:ind w:firstLine="0"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До 26.07.2023 </w:t>
            </w:r>
          </w:p>
          <w:p w:rsidR="004C5F14" w:rsidRDefault="009F37C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в срок не позднее десяти рабочих дней со дня </w:t>
            </w:r>
            <w:r>
              <w:rPr>
                <w:rFonts w:ascii="Times New Roman" w:hAnsi="Times New Roman"/>
                <w:sz w:val="28"/>
              </w:rPr>
              <w:lastRenderedPageBreak/>
              <w:t>завершения отбора размещает на едином портале и на официальном сайте Министерства информацию о результатах отбора, включающую:</w:t>
            </w:r>
          </w:p>
          <w:p w:rsidR="004C5F14" w:rsidRDefault="009F37C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дату, время и место проведения рассмотрения заявок;</w:t>
            </w:r>
          </w:p>
          <w:p w:rsidR="004C5F14" w:rsidRDefault="009F37C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информацию об участниках отбора, заявки которых были рассмотрены;</w:t>
            </w:r>
          </w:p>
          <w:p w:rsidR="004C5F14" w:rsidRDefault="009F37C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</w:t>
            </w:r>
            <w:r>
              <w:rPr>
                <w:rFonts w:ascii="Times New Roman" w:hAnsi="Times New Roman"/>
                <w:sz w:val="28"/>
              </w:rPr>
              <w:t>заявки;</w:t>
            </w:r>
          </w:p>
          <w:p w:rsidR="004C5F14" w:rsidRDefault="009F37C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4) наименование получателя субсидии, с которым заключается соглашение, и размер предоставляемой ему субсидии</w:t>
            </w:r>
          </w:p>
        </w:tc>
      </w:tr>
    </w:tbl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4C5F14"/>
    <w:p w:rsidR="004C5F14" w:rsidRDefault="009F37C4">
      <w:r>
        <w:rPr>
          <w:noProof/>
        </w:rPr>
        <mc:AlternateContent>
          <mc:Choice Requires="wpg">
            <w:drawing>
              <wp:anchor distT="0" distB="8890" distL="0" distR="0" simplePos="0" relativeHeight="251658240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margin">
                  <wp:posOffset>9070340</wp:posOffset>
                </wp:positionV>
                <wp:extent cx="2973705" cy="35306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370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F14" w:rsidRDefault="004C5F14">
                            <w:pPr>
                              <w:pStyle w:val="af8"/>
                              <w:ind w:left="-284" w:firstLine="28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251658240;o:allowoverlap:true;o:allowincell:true;mso-position-horizontal-relative:margin;margin-left:-7.9pt;mso-position-horizontal:absolute;mso-position-vertical-relative:margin;margin-top:714.2pt;mso-position-vertical:absolute;width:234.1pt;height:27.8pt;mso-wrap-distance-left:0.0pt;mso-wrap-distance-top:0.0pt;mso-wrap-distance-right:0.0pt;mso-wrap-distance-bottom:0.7pt;rotation:0;v-text-anchor:top;visibility:visible;" fillcolor="#FFFFFF" stroked="f" strokeweight="0.50pt">
                <v:textbox inset="0,0,0,0">
                  <w:txbxContent>
                    <w:p>
                      <w:pPr>
                        <w:pStyle w:val="617"/>
                        <w:ind w:left="-284" w:firstLine="284"/>
                        <w:rPr>
                          <w:spacing w:val="0"/>
                          <w:sz w:val="22"/>
                        </w:rPr>
                      </w:pPr>
                      <w:r>
                        <w:rPr>
                          <w:spacing w:val="0"/>
                          <w:sz w:val="22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sectPr w:rsidR="004C5F14">
      <w:pgSz w:w="11906" w:h="16838"/>
      <w:pgMar w:top="993" w:right="707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C4" w:rsidRDefault="009F37C4">
      <w:r>
        <w:separator/>
      </w:r>
    </w:p>
  </w:endnote>
  <w:endnote w:type="continuationSeparator" w:id="0">
    <w:p w:rsidR="009F37C4" w:rsidRDefault="009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C4" w:rsidRDefault="009F37C4">
      <w:r>
        <w:separator/>
      </w:r>
    </w:p>
  </w:footnote>
  <w:footnote w:type="continuationSeparator" w:id="0">
    <w:p w:rsidR="009F37C4" w:rsidRDefault="009F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14"/>
    <w:rsid w:val="004C5F14"/>
    <w:rsid w:val="005B6131"/>
    <w:rsid w:val="009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EA3F"/>
  <w15:docId w15:val="{0063B41E-2D5D-4C8A-9190-54C7A8A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basedOn w:val="a9"/>
    <w:uiPriority w:val="99"/>
    <w:rPr>
      <w:rFonts w:ascii="Times New Roman" w:hAnsi="Times New Roman"/>
      <w:i/>
      <w:color w:val="000000"/>
      <w:sz w:val="24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af0">
    <w:name w:val="TOC Heading"/>
    <w:uiPriority w:val="39"/>
    <w:unhideWhenUsed/>
  </w:style>
  <w:style w:type="paragraph" w:styleId="af1">
    <w:name w:val="table of figures"/>
    <w:uiPriority w:val="99"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af2">
    <w:name w:val="index heading"/>
    <w:basedOn w:val="a"/>
    <w:link w:val="af3"/>
  </w:style>
  <w:style w:type="character" w:customStyle="1" w:styleId="af3">
    <w:name w:val="Указатель Знак"/>
    <w:basedOn w:val="1"/>
    <w:link w:val="af2"/>
    <w:rPr>
      <w:rFonts w:ascii="Times New Roman" w:hAnsi="Times New Roman"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4">
    <w:name w:val="List"/>
    <w:basedOn w:val="af5"/>
    <w:link w:val="af6"/>
  </w:style>
  <w:style w:type="character" w:customStyle="1" w:styleId="af6">
    <w:name w:val="Список Знак"/>
    <w:basedOn w:val="af7"/>
    <w:link w:val="af4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f8">
    <w:name w:val="footer"/>
    <w:basedOn w:val="a"/>
    <w:link w:val="1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1"/>
    <w:link w:val="af8"/>
    <w:rPr>
      <w:rFonts w:ascii="Times New Roman" w:hAnsi="Times New Roman"/>
      <w:color w:val="000000"/>
      <w:sz w:val="28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9">
    <w:name w:val="caption"/>
    <w:basedOn w:val="a"/>
    <w:link w:val="a9"/>
    <w:pPr>
      <w:spacing w:before="120" w:after="120"/>
    </w:pPr>
    <w:rPr>
      <w:i/>
      <w:sz w:val="24"/>
    </w:rPr>
  </w:style>
  <w:style w:type="character" w:customStyle="1" w:styleId="a9">
    <w:name w:val="Название объекта Знак"/>
    <w:basedOn w:val="1"/>
    <w:link w:val="af9"/>
    <w:rPr>
      <w:rFonts w:ascii="Times New Roman" w:hAnsi="Times New Roman"/>
      <w:i/>
      <w:color w:val="000000"/>
      <w:sz w:val="24"/>
    </w:rPr>
  </w:style>
  <w:style w:type="paragraph" w:styleId="af5">
    <w:name w:val="Body Text"/>
    <w:basedOn w:val="a"/>
    <w:link w:val="af7"/>
    <w:pPr>
      <w:spacing w:after="140" w:line="276" w:lineRule="auto"/>
    </w:pPr>
  </w:style>
  <w:style w:type="character" w:customStyle="1" w:styleId="af7">
    <w:name w:val="Основной текст Знак"/>
    <w:basedOn w:val="1"/>
    <w:link w:val="af5"/>
    <w:rPr>
      <w:rFonts w:ascii="Times New Roman" w:hAnsi="Times New Roman"/>
      <w:color w:val="000000"/>
      <w:sz w:val="28"/>
    </w:rPr>
  </w:style>
  <w:style w:type="paragraph" w:customStyle="1" w:styleId="afa">
    <w:name w:val="Колонтитул"/>
    <w:basedOn w:val="a"/>
    <w:link w:val="afb"/>
  </w:style>
  <w:style w:type="character" w:customStyle="1" w:styleId="afb">
    <w:name w:val="Колонтитул"/>
    <w:basedOn w:val="1"/>
    <w:link w:val="afa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5"/>
    <w:link w:val="afc"/>
    <w:rPr>
      <w:color w:val="0563C1" w:themeColor="hyperlink"/>
      <w:u w:val="single"/>
    </w:rPr>
  </w:style>
  <w:style w:type="character" w:styleId="afc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d">
    <w:name w:val="Нижний колонтитул Знак"/>
    <w:basedOn w:val="15"/>
    <w:link w:val="afe"/>
    <w:rPr>
      <w:rFonts w:ascii="Times New Roman" w:hAnsi="Times New Roman"/>
      <w:sz w:val="28"/>
    </w:rPr>
  </w:style>
  <w:style w:type="character" w:customStyle="1" w:styleId="afe">
    <w:name w:val="Нижний колонтитул Знак"/>
    <w:basedOn w:val="a0"/>
    <w:link w:val="afd"/>
    <w:rPr>
      <w:rFonts w:ascii="Times New Roman" w:hAnsi="Times New Roman"/>
      <w:sz w:val="28"/>
    </w:rPr>
  </w:style>
  <w:style w:type="paragraph" w:customStyle="1" w:styleId="aff">
    <w:name w:val="Содержимое врезки"/>
    <w:basedOn w:val="a"/>
    <w:link w:val="aff0"/>
  </w:style>
  <w:style w:type="character" w:customStyle="1" w:styleId="aff0">
    <w:name w:val="Содержимое врезки"/>
    <w:basedOn w:val="1"/>
    <w:link w:val="aff"/>
    <w:rPr>
      <w:rFonts w:ascii="Times New Roman" w:hAnsi="Times New Roman"/>
      <w:color w:val="000000"/>
      <w:sz w:val="28"/>
    </w:rPr>
  </w:style>
  <w:style w:type="paragraph" w:customStyle="1" w:styleId="15">
    <w:name w:val="Основной шрифт абзаца1"/>
    <w:link w:val="81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</w:rPr>
  </w:style>
  <w:style w:type="character" w:customStyle="1" w:styleId="ConsPlusTitle0">
    <w:name w:val="ConsPlusTitle"/>
    <w:link w:val="ConsPlusTitle"/>
    <w:rPr>
      <w:rFonts w:asciiTheme="minorHAnsi" w:hAnsiTheme="minorHAnsi"/>
      <w:b/>
      <w:color w:val="000000"/>
      <w:sz w:val="22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8">
    <w:name w:val="Заголовок1"/>
    <w:basedOn w:val="1"/>
    <w:rPr>
      <w:rFonts w:ascii="Open Sans" w:hAnsi="Open Sans"/>
      <w:color w:val="000000"/>
      <w:sz w:val="28"/>
    </w:rPr>
  </w:style>
  <w:style w:type="character" w:customStyle="1" w:styleId="aff4">
    <w:name w:val="Заголовок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Задорожный Александр Иванович</cp:lastModifiedBy>
  <cp:revision>2</cp:revision>
  <dcterms:created xsi:type="dcterms:W3CDTF">2023-07-06T01:13:00Z</dcterms:created>
  <dcterms:modified xsi:type="dcterms:W3CDTF">2023-07-06T01:27:00Z</dcterms:modified>
</cp:coreProperties>
</file>