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-172" y="0"/>
                    <wp:lineTo x="-172" y="20750"/>
                    <wp:lineTo x="20796" y="20750"/>
                    <wp:lineTo x="20796" y="0"/>
                    <wp:lineTo x="-172" y="0"/>
                  </wp:wrapPolygon>
                </wp:wrapTight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position:absolute;z-index:2;o:allowoverlap:true;o:allowincell:false;mso-position-horizontal-relative:margin;mso-position-horizontal:center;mso-position-vertical-relative:text;margin-top:0.05pt;mso-position-vertical:absolute;width:51.00pt;height:63.60pt;mso-wrap-distance-left:9.00pt;mso-wrap-distance-top:0.00pt;mso-wrap-distance-right:9.00pt;mso-wrap-distance-bottom:0.00pt;z-index:1;" wrapcoords="-795 0 -795 96065 96278 96065 96278 0 -795 0" stroked="false">
                <w10:wrap type="tight"/>
                <v:imagedata r:id="rId12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spacing w:line="360" w:lineRule="auto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>
        <w:rPr>
          <w:rFonts w:ascii="Times New Roman" w:hAnsi="Times New Roman"/>
          <w:sz w:val="32"/>
        </w:rPr>
      </w:r>
      <w:r>
        <w:rPr>
          <w:rFonts w:ascii="Times New Roman" w:hAnsi="Times New Roman"/>
          <w:sz w:val="32"/>
        </w:rPr>
      </w:r>
    </w:p>
    <w:p>
      <w:pPr>
        <w:pBdr/>
        <w:spacing/>
        <w:ind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</w:p>
    <w:p>
      <w:pPr>
        <w:pBdr/>
        <w:spacing/>
        <w:ind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</w:p>
    <w:p>
      <w:pPr>
        <w:pBdr/>
        <w:spacing/>
        <w:ind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 О С Т А Н О В Л Е Н И Е</w:t>
      </w: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</w:p>
    <w:p>
      <w:pPr>
        <w:pBdr/>
        <w:spacing/>
        <w:ind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pBdr/>
        <w:spacing/>
        <w:ind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ПРАВИТЕЛЬСТВА</w:t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pBdr/>
        <w:spacing/>
        <w:ind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КАМЧАТСКОГО КРАЯ</w:t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pBdr/>
        <w:spacing w:line="276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spacing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</w:p>
    <w:tbl>
      <w:tblPr>
        <w:tblW w:w="4253" w:type="dxa"/>
        <w:tblBorders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>
        <w:trPr>
          <w:trHeight w:val="427"/>
        </w:trPr>
        <w:tc>
          <w:tcPr>
            <w:tcBorders/>
            <w:tcW w:w="4253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142" w:left="142"/>
              <w:rPr>
                <w:rFonts w:ascii="Times New Roman" w:hAnsi="Times New Roman"/>
                <w:sz w:val="24"/>
              </w:rPr>
            </w:pPr>
            <w:r/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 xml:space="preserve"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 xml:space="preserve">]</w:t>
            </w:r>
            <w:bookmarkEnd w:id="0"/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47"/>
        </w:trPr>
        <w:tc>
          <w:tcPr>
            <w:tcBorders/>
            <w:tcW w:w="4253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г. Петропавловск-Камчатский</w: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</w:r>
          </w:p>
        </w:tc>
      </w:tr>
      <w:tr>
        <w:trPr>
          <w:trHeight w:val="80"/>
        </w:trPr>
        <w:tc>
          <w:tcPr>
            <w:tcBorders/>
            <w:tcW w:w="4253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Bdr/>
        <w:spacing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Style w:val="1022"/>
        <w:tblW w:w="9797" w:type="dxa"/>
        <w:tblInd w:w="74" w:type="dxa"/>
        <w:tblBorders/>
        <w:tblLayout w:type="fixed"/>
        <w:tblLook w:val="04A0" w:firstRow="1" w:lastRow="0" w:firstColumn="1" w:lastColumn="0" w:noHBand="0" w:noVBand="1"/>
      </w:tblPr>
      <w:tblGrid>
        <w:gridCol w:w="9797"/>
      </w:tblGrid>
      <w:tr>
        <w:trPr>
          <w:trHeight w:val="169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7" w:type="dxa"/>
            <w:textDirection w:val="lrTb"/>
            <w:noWrap w:val="false"/>
          </w:tcPr>
          <w:p>
            <w:pPr>
              <w:widowControl w:val="false"/>
              <w:pBdr/>
              <w:spacing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приложение к постановле</w:t>
            </w:r>
            <w:r>
              <w:rPr>
                <w:rFonts w:ascii="Times New Roman" w:hAnsi="Times New Roman"/>
                <w:b/>
                <w:sz w:val="28"/>
              </w:rPr>
              <w:t xml:space="preserve">нию Правительства Камчатского края от 28.12.2023 № 703-П «Об утверждении Территориальной программы государственных гарантий бесплатного оказания гражданам медицинской помощи на территории Камчатского края на 2024 год и на плановый период 2025 и 2026 годов»</w:t>
            </w: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</w:tbl>
    <w:p>
      <w:pPr>
        <w:pBdr/>
        <w:spacing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spacing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spacing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ПРАВИТЕЛЬСТВО ПОСТАНОВЛЯЕТ: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spacing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tabs>
          <w:tab w:val="left" w:leader="none" w:pos="0"/>
        </w:tabs>
        <w:spacing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приложение к постановлению Правительства Камчатского края от 28.12.2023 № 703-П «</w:t>
      </w:r>
      <w:r>
        <w:rPr>
          <w:rFonts w:ascii="Times New Roman" w:hAnsi="Times New Roman"/>
          <w:sz w:val="28"/>
        </w:rPr>
        <w:t xml:space="preserve">Об утверждении Территориальной программы государственных гарантий бесплатного оказания гражданам медицинской помощи на территории Камчатского края на 2024 год и на плановый период 2025 и 2026 годов» изменения согласно приложению к настоящему постановлению.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spacing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после дня его официального опубликования.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spacing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W w:w="9532" w:type="dxa"/>
        <w:tblInd w:w="-34" w:type="dxa"/>
        <w:tblBorders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>
        <w:trPr>
          <w:trHeight w:val="2220"/>
        </w:trPr>
        <w:tc>
          <w:tcPr>
            <w:shd w:val="clear" w:color="auto" w:fill="auto"/>
            <w:tcBorders/>
            <w:tcW w:w="3578" w:type="dxa"/>
            <w:textDirection w:val="lrTb"/>
            <w:noWrap w:val="false"/>
          </w:tcPr>
          <w:p>
            <w:pPr>
              <w:widowControl w:val="false"/>
              <w:pBdr/>
              <w:spacing/>
              <w:ind w:right="27" w:left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Правительства Камчатского края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widowControl w:val="false"/>
              <w:pBdr/>
              <w:spacing/>
              <w:ind w:right="27" w:left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shd w:val="clear" w:color="auto" w:fill="auto"/>
            <w:tcBorders/>
            <w:tcW w:w="3544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r/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 xml:space="preserve">[горизонтальный штамп подписи 1]</w:t>
            </w:r>
            <w:bookmarkEnd w:id="1"/>
            <w:r>
              <w:rPr>
                <w:rFonts w:ascii="Times New Roman" w:hAnsi="Times New Roman"/>
                <w:color w:val="ffffff"/>
                <w:sz w:val="24"/>
              </w:rPr>
            </w:r>
            <w:r>
              <w:rPr>
                <w:rFonts w:ascii="Times New Roman" w:hAnsi="Times New Roman"/>
                <w:color w:val="ffffff"/>
                <w:sz w:val="24"/>
              </w:rPr>
            </w:r>
          </w:p>
          <w:p>
            <w:pPr>
              <w:widowControl w:val="false"/>
              <w:pBdr/>
              <w:spacing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shd w:val="clear" w:color="auto" w:fill="auto"/>
            <w:tcBorders/>
            <w:tcW w:w="2410" w:type="dxa"/>
            <w:textDirection w:val="lrTb"/>
            <w:noWrap w:val="false"/>
          </w:tcPr>
          <w:p>
            <w:pPr>
              <w:widowControl w:val="false"/>
              <w:pBdr/>
              <w:spacing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widowControl w:val="false"/>
              <w:pBdr/>
              <w:spacing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Е.А. Чекин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Bdr/>
        <w:spacing/>
        <w:ind/>
        <w:rPr/>
        <w:sectPr>
          <w:headerReference w:type="default" r:id="rId9"/>
          <w:footnotePr/>
          <w:endnotePr/>
          <w:type w:val="nextPage"/>
          <w:pgSz w:h="16838" w:orient="landscape" w:w="11906"/>
          <w:pgMar w:top="1328" w:right="851" w:bottom="969" w:left="1418" w:header="704" w:footer="0" w:gutter="0"/>
          <w:cols w:num="1" w:sep="0" w:space="720" w:equalWidth="1"/>
        </w:sectPr>
      </w:pPr>
      <w:r>
        <w:br w:type="page" w:clear="all"/>
      </w:r>
      <w:r/>
    </w:p>
    <w:tbl>
      <w:tblPr>
        <w:tblStyle w:val="1022"/>
        <w:tblW w:w="9872" w:type="dxa"/>
        <w:tblInd w:w="56" w:type="dxa"/>
        <w:tblBorders/>
        <w:tblLayout w:type="fixed"/>
        <w:tblLook w:val="04A0" w:firstRow="1" w:lastRow="0" w:firstColumn="1" w:lastColumn="0" w:noHBand="0" w:noVBand="1"/>
      </w:tblPr>
      <w:tblGrid>
        <w:gridCol w:w="452"/>
        <w:gridCol w:w="467"/>
        <w:gridCol w:w="483"/>
        <w:gridCol w:w="3935"/>
        <w:gridCol w:w="483"/>
        <w:gridCol w:w="1871"/>
        <w:gridCol w:w="503"/>
        <w:gridCol w:w="167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1" w:type="dxa"/>
            <w:textDirection w:val="lrTb"/>
            <w:noWrap w:val="false"/>
          </w:tcPr>
          <w:p>
            <w:pPr>
              <w:pageBreakBefore w:val="true"/>
              <w:widowControl w:val="false"/>
              <w:pBdr/>
              <w:spacing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3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35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к постановлению</w: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1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3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35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Правительства Камчатского края</w: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1" w:type="dxa"/>
            <w:textDirection w:val="lrTb"/>
            <w:noWrap w:val="false"/>
          </w:tcPr>
          <w:p>
            <w:pPr>
              <w:widowControl w:val="false"/>
              <w:pBdr/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" w:type="dxa"/>
            <w:textDirection w:val="lrTb"/>
            <w:noWrap w:val="false"/>
          </w:tcPr>
          <w:p>
            <w:pPr>
              <w:widowControl w:val="false"/>
              <w:pBdr/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3" w:type="dxa"/>
            <w:textDirection w:val="lrTb"/>
            <w:noWrap w:val="false"/>
          </w:tcPr>
          <w:p>
            <w:pPr>
              <w:widowControl w:val="false"/>
              <w:pBdr/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35" w:type="dxa"/>
            <w:textDirection w:val="lrTb"/>
            <w:noWrap w:val="false"/>
          </w:tcPr>
          <w:p>
            <w:pPr>
              <w:widowControl w:val="false"/>
              <w:pBdr/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3" w:type="dxa"/>
            <w:textDirection w:val="lrTb"/>
            <w:noWrap w:val="false"/>
          </w:tcPr>
          <w:p>
            <w:pPr>
              <w:widowControl w:val="false"/>
              <w:pBdr/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</w: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71" w:type="dxa"/>
            <w:textDirection w:val="lrTb"/>
            <w:noWrap w:val="false"/>
          </w:tcPr>
          <w:p>
            <w:pPr>
              <w:widowControl w:val="false"/>
              <w:pBdr/>
              <w:spacing w:after="60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 xml:space="preserve">EGDATESTAMP]</w:t>
            </w:r>
            <w:r>
              <w:rPr>
                <w:rFonts w:ascii="Times New Roman" w:hAnsi="Times New Roman"/>
                <w:color w:val="ffffff"/>
                <w:sz w:val="28"/>
              </w:rPr>
            </w:r>
            <w:r>
              <w:rPr>
                <w:rFonts w:ascii="Times New Roman" w:hAnsi="Times New Roman"/>
                <w:color w:val="fffff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3" w:type="dxa"/>
            <w:textDirection w:val="lrTb"/>
            <w:noWrap w:val="false"/>
          </w:tcPr>
          <w:p>
            <w:pPr>
              <w:widowControl w:val="false"/>
              <w:pBdr/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</w: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78" w:type="dxa"/>
            <w:textDirection w:val="lrTb"/>
            <w:noWrap w:val="false"/>
          </w:tcPr>
          <w:p>
            <w:pPr>
              <w:widowControl w:val="false"/>
              <w:pBdr/>
              <w:spacing w:after="60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 xml:space="preserve">EGNUMSTAMP]</w:t>
            </w:r>
            <w:r>
              <w:rPr>
                <w:rFonts w:ascii="Times New Roman" w:hAnsi="Times New Roman"/>
                <w:color w:val="ffffff"/>
                <w:sz w:val="28"/>
              </w:rPr>
            </w:r>
            <w:r>
              <w:rPr>
                <w:rFonts w:ascii="Times New Roman" w:hAnsi="Times New Roman"/>
                <w:color w:val="ffffff"/>
                <w:sz w:val="28"/>
              </w:rPr>
            </w:r>
          </w:p>
        </w:tc>
      </w:tr>
    </w:tbl>
    <w:p>
      <w:pPr>
        <w:pBdr/>
        <w:spacing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 xml:space="preserve">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</w:r>
    </w:p>
    <w:p>
      <w:pPr>
        <w:pBdr/>
        <w:spacing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Изменения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spacing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приложение к постановлению Правительства Камчатского края 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spacing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28.12.2023 № 703-П «Об утверждении Территориальной программы государственных гарантий бесплатного оказания гражданам медицинской помощи на территории Камчатского края на 2024 год и на плановый период 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spacing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2025 и 2026 годов» (далее – Территориальная программа)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spacing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spacing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spacing w:line="240" w:lineRule="auto"/>
        <w:ind w:firstLine="709"/>
        <w:contextualSpacing w:val="false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 В разделе 2: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81"/>
        <w:numPr>
          <w:ilvl w:val="0"/>
          <w:numId w:val="3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tabs>
          <w:tab w:val="left" w:leader="none" w:pos="1134"/>
        </w:tabs>
        <w:spacing w:after="0" w:before="0" w:line="240" w:lineRule="auto"/>
        <w:ind w:right="0" w:firstLine="709" w:left="0"/>
        <w:contextualSpacing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абзаце третьем части 10 слова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«и на плановый период 2025 и 2026 годов» дополнить словами «, утвержденной постановлением Правительства Российской Федерации от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28.12.2023 № 2353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81"/>
        <w:numPr>
          <w:ilvl w:val="0"/>
          <w:numId w:val="3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tabs>
          <w:tab w:val="left" w:leader="none" w:pos="1134"/>
        </w:tabs>
        <w:spacing w:after="0" w:before="0" w:line="240" w:lineRule="auto"/>
        <w:ind w:right="0" w:firstLine="709" w:left="0"/>
        <w:contextualSpacing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часть 24 дополнить пунктом 25 следующего содержания: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240" w:lineRule="auto"/>
        <w:ind w:right="0" w:firstLine="708" w:left="0"/>
        <w:contextualSpacing w:val="false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«25) перечень исследований и иных медицинских вмешательств, проводимых в рамках диспансеризации взрослого населения репродуктивного возраста по оценке репродуктивного здоровья (приложение 22 к Территориальной программе).»;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Bdr/>
        <w:spacing w:line="240" w:lineRule="auto"/>
        <w:ind w:firstLine="709"/>
        <w:contextualSpacing w:val="false"/>
        <w:jc w:val="both"/>
        <w:rPr>
          <w:rFonts w:ascii="Times New Roman" w:hAnsi="Times New Roman" w:cs="Times New Roman"/>
          <w:sz w:val="28"/>
          <w:szCs w:val="28"/>
          <w:highlight w:val="none"/>
          <w:vertAlign w:val="baseli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 В разделе 4:</w:t>
      </w:r>
      <w:r>
        <w:rPr>
          <w:rFonts w:ascii="Times New Roman" w:hAnsi="Times New Roman" w:cs="Times New Roman"/>
          <w:sz w:val="28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sz w:val="28"/>
          <w:szCs w:val="28"/>
          <w:highlight w:val="none"/>
          <w:vertAlign w:val="baseline"/>
        </w:rPr>
      </w:r>
    </w:p>
    <w:p>
      <w:pPr>
        <w:pStyle w:val="981"/>
        <w:numPr>
          <w:ilvl w:val="0"/>
          <w:numId w:val="7"/>
        </w:numPr>
        <w:pBdr/>
        <w:tabs>
          <w:tab w:val="left" w:leader="none" w:pos="1134"/>
        </w:tabs>
        <w:spacing w:line="240" w:lineRule="auto"/>
        <w:ind w:right="0"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абзаце втором части 34: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line="240" w:lineRule="auto"/>
        <w:ind w:right="0" w:firstLine="708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после слов 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работ и услуг по 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одержанию имущества,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 дополнить словами «включая расходы на техническое обслуживание и ремонт основных средств,»;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tabs>
          <w:tab w:val="left" w:leader="none" w:pos="992"/>
        </w:tabs>
        <w:spacing w:line="240" w:lineRule="auto"/>
        <w:ind w:right="0" w:firstLine="0" w:left="709"/>
        <w:contextualSpacing w:val="false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б) цифры «100» заменить цифрами «400»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</w:rPr>
      </w:r>
    </w:p>
    <w:p>
      <w:pPr>
        <w:pBdr/>
        <w:tabs>
          <w:tab w:val="left" w:leader="none" w:pos="1134"/>
        </w:tabs>
        <w:spacing w:line="240" w:lineRule="auto"/>
        <w:ind w:right="0" w:firstLine="709" w:left="0"/>
        <w:contextualSpacing w:val="false"/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2) дополнить частью 43</w:t>
      </w:r>
      <w:r>
        <w:rPr>
          <w:rFonts w:ascii="Times New Roman" w:hAnsi="Times New Roman" w:eastAsia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eastAsia="Times New Roman" w:cs="Times New Roman"/>
          <w:sz w:val="28"/>
          <w:szCs w:val="28"/>
          <w:vertAlign w:val="baseline"/>
        </w:rPr>
        <w:t xml:space="preserve">следующего содержания:</w:t>
      </w:r>
      <w:r>
        <w:rPr>
          <w:rFonts w:ascii="Times New Roman" w:hAnsi="Times New Roman" w:cs="Times New Roman"/>
          <w:sz w:val="28"/>
          <w:szCs w:val="28"/>
          <w:vertAlign w:val="baseline"/>
        </w:rPr>
      </w:r>
      <w:r>
        <w:rPr>
          <w:rFonts w:ascii="Times New Roman" w:hAnsi="Times New Roman" w:cs="Times New Roman"/>
          <w:sz w:val="28"/>
          <w:szCs w:val="28"/>
          <w:vertAlign w:val="baseli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180" w:lineRule="atLeast"/>
        <w:ind w:right="0" w:firstLine="709"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«43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диспансеризации, направленной на оценку их репродуктивного здоровья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включающей исследования и иные медицинские вмешательства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 по перечню согласно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u w:val="none"/>
        </w:rPr>
        <w:t xml:space="preserve">приложению № 22 к Территориальной программе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При невозможности проведения всех исследований в медицинской организации, к которой прикреплен гражданин, для проведения указанных исследований медицинским работником медицинской организации, к которой прикреплен гражданин, осуществляется забор материала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для исследования и его направление в установленном порядке в иную медицинскую организацию, в том числе федеральную медицинскую организацию. В случае отсутствия в медицинской организации, к которой прикреплен гражданин, врача акушера-гинеколога, врача-урол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ога (врача-хирурга, прошедшего подготовку по вопросам репродуктивного здоровья) данная медицинская организация привлекает к проведению диспансеризации соответствующих врачей иных медицинских организаций (в том числе на основе выездных форм их работы) с обя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зательным информированием гражданина о дате и времени работы этих врачей не менее чем за 3 рабочих дня до назначения даты приема (осмотра).»;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180" w:lineRule="atLeast"/>
        <w:ind w:right="0" w:firstLine="709"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3) абзац первый части 44 признать утратившим силу;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180" w:lineRule="atLeast"/>
        <w:ind w:right="0" w:firstLine="709"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vertAlign w:val="baseli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4) дополнить частью 48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vertAlign w:val="superscript"/>
        </w:rPr>
        <w:t xml:space="preserve">1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vertAlign w:val="baseline"/>
        </w:rPr>
        <w:t xml:space="preserve">следующего содержания: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vertAlign w:val="baseli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vertAlign w:val="baseli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180" w:lineRule="atLeast"/>
        <w:ind w:right="0" w:firstLine="540" w:left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vertAlign w:val="baseline"/>
        </w:rPr>
        <w:t xml:space="preserve">«48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vertAlign w:val="superscript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Результаты экспертиз, указанных в части 48,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Федерации.»;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tabs>
          <w:tab w:val="left" w:leader="none" w:pos="1134"/>
        </w:tabs>
        <w:spacing w:after="0" w:before="0" w:line="180" w:lineRule="atLeast"/>
        <w:ind w:right="0" w:firstLine="709"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5) часть 49 признать утратившей силу;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tabs>
          <w:tab w:val="left" w:leader="none" w:pos="1134"/>
        </w:tabs>
        <w:spacing w:after="0" w:before="0" w:line="180" w:lineRule="atLeast"/>
        <w:ind w:right="0" w:firstLine="709"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vertAlign w:val="baseli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6) дополнить частью 50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vertAlign w:val="superscript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vertAlign w:val="baseline"/>
        </w:rPr>
        <w:t xml:space="preserve"> следующего содержания: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vertAlign w:val="baseli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vertAlign w:val="baseli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vertAlign w:val="baseline"/>
        </w:rPr>
        <w:t xml:space="preserve">«50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vertAlign w:val="superscript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осложнений, обострений ранее сформированных 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ронических неинфекционных заболеваний (далее – диспансерное наблюдение работающих граждан).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Организация диспансерного наблюдения работающих граждан может осуществляться: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81"/>
        <w:numPr>
          <w:ilvl w:val="0"/>
          <w:numId w:val="4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tabs>
          <w:tab w:val="left" w:leader="none" w:pos="1134"/>
        </w:tabs>
        <w:spacing w:after="0" w:before="0" w:beforeAutospacing="0" w:line="240" w:lineRule="auto"/>
        <w:ind w:right="0"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при наличии у работодателя подразделения (кабинет врача, здравпункт, медицинский кабинет, медицинская часть и другие подразделения), оказывающего медицинскую помощь работникам организации силами и средствами такого подразделения;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81"/>
        <w:numPr>
          <w:ilvl w:val="0"/>
          <w:numId w:val="4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tabs>
          <w:tab w:val="left" w:leader="none" w:pos="1134"/>
        </w:tabs>
        <w:spacing w:after="0" w:before="0" w:beforeAutospacing="0" w:line="240" w:lineRule="auto"/>
        <w:ind w:right="0"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при отсутствии у работодателя указанного подразделения путем заключения работодателем договора с государственной (муниципальной) медицинской организацией любой подведомственности, участвующей в базовой (территориальной) программе обязательного медицинского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страхования и имеющей материально-техническую базу и медицинских работников, необходимых для проведения диспансерного наблюдения работающего гражданина (с оплатой такой медицинской помощи по отдельным реестрам счетов в порядке, устанавливаемом Министерств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ом здравоохранения Российской Федерации).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Копия договора о проведении диспансерного наблюдения работающих граждан между работодателем и указанной медицинской организацией, заверенная в установленном порядке, направляется медицинской организацией в территориальный фонд обязательного медицинского ст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рахования Камчатского края в целях последующей оплаты оказанных комплексных посещений по диспансеризации работающих граждан в рамках отдельных реестров счетов.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Диспансерное наблюдение работающего гражданина также может быть проведено силами медицинской организации, к которой прикреплен работающий гражданин, с использованием выездных методов работы и организацией осмотров и исследований по месту осуществления граж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данином служебной деятельности.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Если медицинская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организация, осуществляющая диспансерное наблюдение работающего гражданина в соответствии с настоящим разделом Территориальной программы, не является медицинской организацией, к которой прикреплен работающий гражданин, то данная организация направляет све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дения о результатах прохождения работающим гражданином диспансерного наблюдения в медицинскую организацию, к которой прикреплен гражданин, с использованием Единой государственной информационной системы в сфере здравоохранения в течение 3 рабочих дней после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получения указанных результатов.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этом случае территориальный фонд обязательного медицинского страхования Камчатского края осуществляет контроль за правильностью учета проведенного диспансерного наблюдения работающих граждан в целях исключения дублирования данного наблюдения.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709"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Территориальный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фонд обязательного медицинского страхования Камчатского края ведет учет всех случаев проведения диспансерного наблюдения работающих граждан (в разрезе каждого застрахованного работающего гражданина) с ежемесячной передачей соответствующих обезличенных данн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ых Федеральному фонду обязательного медицинского страхования.»;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709"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7)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 в части 51: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709"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а) в подпункте «б» пункта 2 слова «в приложении № 5» заменить словами «в приложении № 7»;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180" w:lineRule="atLeast"/>
        <w:ind w:right="0" w:firstLine="709" w:left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б) в подпункте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«б» пункта 3 слова «приложением № 5 к Программе, за услугу диализа» заменить словами «приложением № 7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том числе в сочетании с оплатой за услугу диализа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»;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180" w:lineRule="atLeast"/>
        <w:ind w:right="0" w:firstLine="709"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8) в части 54 слова «с учетом показателей результативности деятельности медицинской организации, включая показатели объема медицинской помощи» заменить словами 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с учетом показателей результативности деятельности медицинской организации, в том числе показателей объема медицинской помощи», слова «и финансовое обеспечение фельдшерских здравпунктов» заменить словами 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и расходы на финансовое обеспечение фельдшерских здравпунктов»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180" w:lineRule="atLeast"/>
        <w:ind w:right="0" w:firstLine="709"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vertAlign w:val="baseli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9) дополнить частью 60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vertAlign w:val="superscript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vertAlign w:val="baseline"/>
        </w:rPr>
        <w:t xml:space="preserve"> следующего содержания: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vertAlign w:val="baseli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vertAlign w:val="baseli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180" w:lineRule="atLeast"/>
        <w:ind w:right="0" w:firstLine="709"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«60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Страховые медицинские организации проводят экспертизу качества всех случаев экстракорпорального оплодотворения, осуществленных в рамках базовой программы обязательного медицинского страхования, включая оценку его эффективности (факт наступления беременност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и).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ского страхования при решении вопросов о распределении медицинским организациям объемов медицинской помощи по экстракорпоральному оплодотворению.»;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180" w:lineRule="atLeast"/>
        <w:ind w:right="0" w:firstLine="709" w:left="0"/>
        <w:jc w:val="both"/>
        <w:rPr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10) в абзаце втором части 62 слова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 «в соответствии с приложением № 3 к Программе и перечнями, приведенными в приложении № 1 к Программе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(разделы I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III) и приложении № 4 к Программе»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заменить словами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«в соответствии с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разделами I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и III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приложения № 1 к Программе 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приложениями № 3 и №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4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к Программе»;</w:t>
      </w:r>
      <w:r>
        <w:rPr>
          <w:highlight w:val="none"/>
        </w:rPr>
      </w:r>
      <w:r>
        <w:rPr>
          <w:highlight w:val="none"/>
        </w:rPr>
      </w:r>
    </w:p>
    <w:p>
      <w:pPr>
        <w:pBdr/>
        <w:tabs>
          <w:tab w:val="left" w:leader="none" w:pos="992"/>
        </w:tabs>
        <w:spacing w:line="240" w:lineRule="auto"/>
        <w:ind w:right="0" w:firstLine="709" w:left="0"/>
        <w:contextualSpacing w:val="false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</w:rPr>
        <w:t xml:space="preserve">11)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дополнить частью 65</w:t>
      </w:r>
      <w:r>
        <w:rPr>
          <w:rFonts w:ascii="Times New Roman" w:hAnsi="Times New Roman" w:eastAsia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eastAsia="Times New Roman" w:cs="Times New Roman"/>
          <w:sz w:val="28"/>
          <w:szCs w:val="28"/>
          <w:vertAlign w:val="baseline"/>
        </w:rPr>
        <w:t xml:space="preserve">следующего содержания: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</w:rPr>
      </w:r>
    </w:p>
    <w:p>
      <w:pPr>
        <w:pBdr/>
        <w:tabs>
          <w:tab w:val="left" w:leader="none" w:pos="992"/>
        </w:tabs>
        <w:spacing w:after="0" w:afterAutospacing="0" w:line="240" w:lineRule="auto"/>
        <w:ind w:right="0" w:firstLine="709" w:left="0"/>
        <w:contextualSpacing w:val="false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</w:rPr>
        <w:t xml:space="preserve">«6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5</w:t>
      </w:r>
      <w:r>
        <w:rPr>
          <w:rFonts w:ascii="Times New Roman" w:hAnsi="Times New Roman" w:eastAsia="Times New Roman" w:cs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vertAlign w:val="baseline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После завершения участия медицинской организации в реализации Территориальной программы ОМС на 2023 год и исполнения медицинской организацией всех обязательств по договору на оказание и оплату медицинской помощи по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обязательному медицинскому страхованию в рамках базовой программы обязательного медицинского страхования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допускается использование медицинской организацией остатков средств обязательного медицинского страхования, полученных за оказанную медицинскую помощь, по следующим направлениям расходования: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widowControl w:val="false"/>
        <w:pBdr/>
        <w:spacing w:after="0" w:afterAutospacing="0" w:line="240" w:lineRule="auto"/>
        <w:ind w:right="0" w:firstLine="709" w:left="0"/>
        <w:jc w:val="both"/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1) на приобретение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медицинского оборудования и (или) запасных частей к нему стоимостью свыше 1 млн рублей, прочего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оборудования и (или) запасных частей к нему стоимостью свыше 400 тысяч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ff0000"/>
          <w:szCs w:val="28"/>
        </w:rPr>
      </w:r>
      <w:r>
        <w:rPr>
          <w:rFonts w:ascii="Times New Roman" w:hAnsi="Times New Roman" w:cs="Times New Roman"/>
          <w:color w:val="ff0000"/>
          <w:szCs w:val="28"/>
        </w:rPr>
      </w:r>
    </w:p>
    <w:p>
      <w:pPr>
        <w:widowControl w:val="false"/>
        <w:pBdr/>
        <w:spacing w:after="0" w:afterAutospacing="0" w:line="240" w:lineRule="auto"/>
        <w:ind w:right="0" w:firstLine="709" w:left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2) 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 арендную плату, в том числе на финансовую аренду объектов (лизинг), а также выкуп предмета лизинга в соответствии со статьей 624 Гражданского кодекса Российской Федерации с размером платежа свыше 1 млн рублей в год за один объект лизинг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widowControl w:val="false"/>
        <w:pBdr/>
        <w:spacing w:after="0" w:afterAutospacing="0" w:line="240" w:lineRule="auto"/>
        <w:ind w:right="0" w:firstLine="709" w:left="0"/>
        <w:jc w:val="both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3) на приобретение серверного оборудования, предназначенного для работы медицинских информационных систем, электронного получени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none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none"/>
          <w:lang w:eastAsia="ru-RU"/>
        </w:rPr>
        <w:t xml:space="preserve">сбора, хранения и отображения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none"/>
          <w:lang w:eastAsia="ru-RU"/>
        </w:rPr>
        <w:t xml:space="preserve"> широкого спектра медицинских изображений,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none"/>
          <w:lang w:eastAsia="ru-RU"/>
        </w:rPr>
        <w:t xml:space="preserve">видеоданных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none"/>
          <w:lang w:eastAsia="ru-RU"/>
        </w:rPr>
        <w:t xml:space="preserve"> (неспециализированных) и для распределения данных в рамках одного медицинского учреждения или между 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none"/>
          <w:lang w:eastAsia="ru-RU"/>
        </w:rPr>
        <w:t xml:space="preserve">ми для анализа, организации, отчета и совместного использования данных, стоимостью свыше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u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u w:val="none"/>
          <w:lang w:eastAsia="ru-RU"/>
        </w:rPr>
        <w:t xml:space="preserve">400 тысяч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u w:val="none"/>
          <w:lang w:eastAsia="ru-RU"/>
        </w:rPr>
        <w:t xml:space="preserve"> рублей.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u w:val="none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  <w:u w:val="none"/>
        </w:rPr>
      </w:r>
    </w:p>
    <w:p>
      <w:pPr>
        <w:widowControl w:val="false"/>
        <w:pBdr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Расходование медицинскими организациями остатков средств обязательного медицинского страхования по указанным направлен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иям допускается при соблюдении следующих условий: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981"/>
        <w:widowControl w:val="false"/>
        <w:numPr>
          <w:ilvl w:val="0"/>
          <w:numId w:val="11"/>
        </w:numPr>
        <w:pBdr/>
        <w:tabs>
          <w:tab w:val="left" w:leader="none" w:pos="1134"/>
        </w:tabs>
        <w:spacing w:after="0" w:afterAutospacing="0" w:line="240" w:lineRule="auto"/>
        <w:ind w:right="0" w:firstLine="709"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завершение участия медицинской организации в реализации Территориальной программы ОМС на 2023 год </w:t>
      </w:r>
      <w:r>
        <w:rPr>
          <w:rFonts w:ascii="Times New Roman" w:hAnsi="Times New Roman" w:eastAsia="Times New Roman" w:cs="Times New Roman"/>
          <w:color w:val="ff0000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исполнение медицинской организацией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всех обязательств по договору на оказание и оплату медицинской помощи в рамках базовой программы обязательного медицинского страхования, в том числе погашение кредиторской задолженности, сложившейся по состоянию на 01.01.2024, в полном объеме;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981"/>
        <w:widowControl w:val="false"/>
        <w:numPr>
          <w:ilvl w:val="0"/>
          <w:numId w:val="11"/>
        </w:numPr>
        <w:pBdr/>
        <w:tabs>
          <w:tab w:val="left" w:leader="none" w:pos="1134"/>
        </w:tabs>
        <w:spacing w:after="0" w:afterAutospacing="0" w:line="240" w:lineRule="auto"/>
        <w:ind w:right="0" w:firstLine="709"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отсутствие у медицинской организации просроченной кре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диторской задолженности, в том числе по оплате труда, начислениям на выплаты по оплате труда на дату заключения соответствующего договора на приобретение оборудования либо договора аренды, в том числе финансовой аренды объектов;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981"/>
        <w:widowControl w:val="false"/>
        <w:numPr>
          <w:ilvl w:val="0"/>
          <w:numId w:val="11"/>
        </w:numPr>
        <w:pBdr/>
        <w:tabs>
          <w:tab w:val="left" w:leader="none" w:pos="1134"/>
        </w:tabs>
        <w:spacing w:after="0" w:afterAutospacing="0" w:line="240" w:lineRule="auto"/>
        <w:ind w:right="0" w:firstLine="709" w:left="0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наличие у медицинской организации комиссионного решения, оформленного протоколом: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widowControl w:val="false"/>
        <w:pBdr/>
        <w:tabs>
          <w:tab w:val="left" w:leader="none" w:pos="1134"/>
        </w:tabs>
        <w:spacing w:after="0" w:afterAutospacing="0" w:line="240" w:lineRule="auto"/>
        <w:ind w:right="0" w:firstLine="709" w:left="0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а) о потребности медицинской организации в приобретаем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ом (арендуемом) оборудовании, ук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азанном в пунктах 1 и 2 настоящей части,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медицинской помощи, порядками организации медицинской реабилитации либо правилам</w:t>
      </w:r>
      <w:r>
        <w:rPr>
          <w:rFonts w:ascii="Times New Roman" w:hAnsi="Times New Roman" w:eastAsia="Times New Roman" w:cs="Times New Roman"/>
          <w:color w:val="ff0000"/>
          <w:sz w:val="28"/>
          <w:szCs w:val="28"/>
          <w:highlight w:val="none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проведения лабораторных, инструментальных, патолого-анатомических и иных видов диагностических исследований, утвержденными Министерством здравоохранения Российской Федерации;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widowControl w:val="false"/>
        <w:pBdr/>
        <w:tabs>
          <w:tab w:val="left" w:leader="none" w:pos="1134"/>
        </w:tabs>
        <w:spacing w:after="0" w:afterAutospacing="0" w:line="240" w:lineRule="auto"/>
        <w:ind w:right="0" w:firstLine="709" w:left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б) 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соответствии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назначения приобретаемого (арендуемого) оборудования, указанного в пунктах 1 и 2 настоящей части, целям оказания медицинской помощи по формам, видам и профилям медицинской помощи, оказываемой медицинской организацией в рамках Территориальной программы ОМС;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widowControl w:val="false"/>
        <w:pBdr/>
        <w:tabs>
          <w:tab w:val="left" w:leader="none" w:pos="1134"/>
        </w:tabs>
        <w:spacing w:after="0" w:afterAutospacing="0" w:line="240" w:lineRule="auto"/>
        <w:ind w:right="0" w:firstLine="709" w:left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в)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 потребности медицинской организации в приобретаем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серверном оборудовании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, в случае принятия решения о расходовании средств по направлению, указанному в пункте 3 настоящей части.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widowControl w:val="false"/>
        <w:pBdr/>
        <w:spacing w:after="0" w:afterAutospacing="0" w:line="240" w:lineRule="auto"/>
        <w:ind w:firstLine="708" w:left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Размер расходования средств на указанные направления определяется учредителем медицинской организации, с последующим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уведомлением Министерства здравоохранения Камчатского края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widowControl w:val="false"/>
        <w:pBdr/>
        <w:spacing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3. В разделе 5: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81"/>
        <w:widowControl w:val="false"/>
        <w:numPr>
          <w:ilvl w:val="0"/>
          <w:numId w:val="8"/>
        </w:numPr>
        <w:pBdr/>
        <w:tabs>
          <w:tab w:val="left" w:leader="none" w:pos="1134"/>
        </w:tabs>
        <w:spacing/>
        <w:ind w:right="0"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пункте 2 части 67 слова «включая транспортные расходы» заменить словами «транспортные расходы»;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81"/>
        <w:widowControl w:val="false"/>
        <w:numPr>
          <w:ilvl w:val="0"/>
          <w:numId w:val="8"/>
        </w:numPr>
        <w:pBdr/>
        <w:tabs>
          <w:tab w:val="left" w:leader="none" w:pos="1134"/>
        </w:tabs>
        <w:spacing/>
        <w:ind w:right="0"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пункте 6 части 69 слова «в указанные медицинские организации» заменить словами «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указанных медицинских организациях»;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81"/>
        <w:widowControl w:val="false"/>
        <w:numPr>
          <w:ilvl w:val="0"/>
          <w:numId w:val="8"/>
        </w:numPr>
        <w:pBdr/>
        <w:tabs>
          <w:tab w:val="left" w:leader="none" w:pos="1134"/>
        </w:tabs>
        <w:spacing/>
        <w:ind w:right="0"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пункт 15 части 72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180" w:lineRule="atLeast"/>
        <w:ind w:right="0" w:firstLine="709"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«15)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предоставление в рамках оказания паллиативной медицинской помощи, в том числе детям, для использования на дому медицинских изделий, предназначенных для поддержания функций органов и систем организма человека, по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перечню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 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тверждаемому Министерством здравоохранения Российской Федерации, а также обеспечение при посещениях на дому лекарственными препаратами для обезболивания, включая наркотические лекарственные препараты и психотропные лекарственные препараты, и продуктами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лечебного (энтерального) питания с учетом предоставления медицинских изделий, лекарственных препаратов и продуктов лечебного (энтерального) питания ветеранам боевых действий во внеочередном порядке;».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180" w:lineRule="atLeast"/>
        <w:ind w:right="0" w:firstLine="709"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4. Приложение 1 к Территориальной программе изложить в редакции согласно приложению к настоящему приложению.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180" w:lineRule="atLeast"/>
        <w:ind w:right="0" w:firstLine="709"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5. Дополнить Территориальную программу приложением 22 в следующей редакции: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pBdr/>
        <w:spacing/>
        <w:ind w:right="0" w:firstLine="0" w:left="45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22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spacing/>
        <w:ind w:right="0" w:firstLine="0" w:left="45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Территориальной программе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spacing/>
        <w:ind w:right="0" w:firstLine="0" w:left="45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государственных гарантий бесплатного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spacing/>
        <w:ind w:right="0" w:firstLine="0" w:left="45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оказания гражданам медицинской помощи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spacing/>
        <w:ind w:right="0" w:firstLine="0" w:left="45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территории Камчатского края на 2024 год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spacing/>
        <w:ind w:right="0" w:firstLine="0" w:left="45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на плановый период 2025 и 2026 годов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spacing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180" w:lineRule="atLeast"/>
        <w:ind w:right="0" w:firstLine="709"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0" w:left="0"/>
        <w:jc w:val="center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Перечень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0" w:left="0"/>
        <w:jc w:val="center"/>
        <w:rPr>
          <w:rFonts w:ascii="Arial" w:hAnsi="Arial" w:eastAsia="Arial" w:cs="Arial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исследований и иных медицинских вмешательств, проводимых в рамках диспансеризации взрослого населения репродуктивного возраста по оценке репродуктивного здоровья</w:t>
      </w:r>
      <w:r>
        <w:rPr>
          <w:rFonts w:ascii="Arial" w:hAnsi="Arial" w:eastAsia="Arial" w:cs="Arial"/>
          <w:sz w:val="28"/>
          <w:szCs w:val="28"/>
        </w:rPr>
      </w:r>
      <w:r>
        <w:rPr>
          <w:rFonts w:ascii="Arial" w:hAnsi="Arial" w:eastAsia="Arial" w:cs="Arial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0" w:left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540" w:left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1. Диспансеризация взрослого населения репродуктивного возраста по оценке репродуктивного здоровья (далее – диспансеризация) проводится в целях выявления у граждан признаков заболеваний или состояний, которые могут негативно повлиять на беременность и посл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едующее течение беременности, родов и послеродового периода репродуктивного, а также факторов риска их развития.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540" w:left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2. Первый этап диспансеризации включает: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540" w:left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а) у женщин прием (осмотр) врачом акушером-гинекологом;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540" w:left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пальпация молочных желез;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540" w:left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осмотр шейки матки в зеркалах с забором материала на исследование;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540" w:left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микроскопическое исследование влагалищных мазков;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540" w:left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цитологическое исследование мазка с поверхности шейки матки и цервикального канала (за исключением случаев невозможности проведения исследования по медицинским показаниям в связи с экстирпацией матки, virgo). Цитологическое исследование мазка (соскоба) с ш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ейки матки проводится при его окрашивании по Папаниколау (другие способы окраски не допускаются);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540" w:left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 женщин в возрасте 18–29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540" w:left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б) у мужчин прием (осмотр) врачом-урологом (при его отсутствии врачом-хирургом, прошедшим подготовку по вопросам репродуктивного здоровья у мужчин).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540" w:left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3. Второй этап диспансеризации проводится по результатам первого этапа в целях дополнительного обследования и уточнения диагноза заболевания (состояния) и при наличии показаний включает: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540" w:left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а) у женщин: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540" w:left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возрасте 30–49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540" w:left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ультразвуковое исследование органов малого таза в начале или середине менструального цикла;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540" w:left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ультразвуковое исследование молочных желез;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540" w:left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повторный прием (осмотр) врачом акушером-гинекологом;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540" w:left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б) у мужчин: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540" w:left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спермограмму;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540" w:left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540" w:left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ультразвуковое исследование предстательной железы и органов мошонки;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beforeAutospacing="0" w:line="240" w:lineRule="auto"/>
        <w:ind w:right="0" w:firstLine="540" w:left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повторный прием (осмотр) врачом-урологом (при его отсутствии врачом-хирургом, прошедшим подготовку по вопросам репродуктивного здоровья у мужчин).».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/>
        <w:spacing/>
        <w:ind/>
        <w:jc w:val="both"/>
        <w:rPr>
          <w:rFonts w:ascii="Times New Roman" w:hAnsi="Times New Roman"/>
          <w:sz w:val="28"/>
        </w:rPr>
        <w:sectPr>
          <w:headerReference w:type="default" r:id="rId10"/>
          <w:footnotePr/>
          <w:endnotePr/>
          <w:type w:val="nextPage"/>
          <w:pgSz w:h="16838" w:orient="landscape" w:w="11906"/>
          <w:pgMar w:top="1328" w:right="708" w:bottom="1104" w:left="1276" w:header="704" w:footer="0" w:gutter="0"/>
          <w:cols w:num="1" w:sep="0" w:space="720" w:equalWidth="1"/>
        </w:sectPr>
      </w:pPr>
      <w:r>
        <w:br w:type="page" w:clear="all"/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Style w:val="1022"/>
        <w:tblW w:w="19812" w:type="dxa"/>
        <w:tblInd w:w="247" w:type="dxa"/>
        <w:tblBorders/>
        <w:tblLayout w:type="fixed"/>
        <w:tblLook w:val="04A0" w:firstRow="1" w:lastRow="0" w:firstColumn="1" w:lastColumn="0" w:noHBand="0" w:noVBand="1"/>
      </w:tblPr>
      <w:tblGrid>
        <w:gridCol w:w="452"/>
        <w:gridCol w:w="466"/>
        <w:gridCol w:w="483"/>
        <w:gridCol w:w="8277"/>
        <w:gridCol w:w="483"/>
        <w:gridCol w:w="1870"/>
        <w:gridCol w:w="502"/>
        <w:gridCol w:w="2672"/>
        <w:gridCol w:w="4607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1" w:type="dxa"/>
            <w:textDirection w:val="lrTb"/>
            <w:noWrap w:val="false"/>
          </w:tcPr>
          <w:p>
            <w:pPr>
              <w:pageBreakBefore w:val="true"/>
              <w:widowControl w:val="false"/>
              <w:pBdr/>
              <w:spacing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6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3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276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134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к приложению к постановлению</w: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1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6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3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276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134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Правительства Камчатского края</w: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1" w:type="dxa"/>
            <w:textDirection w:val="lrTb"/>
            <w:noWrap w:val="false"/>
          </w:tcPr>
          <w:p>
            <w:pPr>
              <w:widowControl w:val="false"/>
              <w:pBdr/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6" w:type="dxa"/>
            <w:textDirection w:val="lrTb"/>
            <w:noWrap w:val="false"/>
          </w:tcPr>
          <w:p>
            <w:pPr>
              <w:widowControl w:val="false"/>
              <w:pBdr/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3" w:type="dxa"/>
            <w:textDirection w:val="lrTb"/>
            <w:noWrap w:val="false"/>
          </w:tcPr>
          <w:p>
            <w:pPr>
              <w:widowControl w:val="false"/>
              <w:pBdr/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276" w:type="dxa"/>
            <w:textDirection w:val="lrTb"/>
            <w:noWrap w:val="false"/>
          </w:tcPr>
          <w:p>
            <w:pPr>
              <w:widowControl w:val="false"/>
              <w:pBdr/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3" w:type="dxa"/>
            <w:textDirection w:val="lrTb"/>
            <w:noWrap w:val="false"/>
          </w:tcPr>
          <w:p>
            <w:pPr>
              <w:widowControl w:val="false"/>
              <w:pBdr/>
              <w:spacing w:after="6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</w: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70" w:type="dxa"/>
            <w:textDirection w:val="lrTb"/>
            <w:noWrap w:val="false"/>
          </w:tcPr>
          <w:p>
            <w:pPr>
              <w:widowControl w:val="false"/>
              <w:pBdr/>
              <w:spacing w:after="60"/>
              <w:ind w:hanging="8079" w:left="8079"/>
              <w:rPr/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 xml:space="preserve">EGDATESTAMP]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2" w:type="dxa"/>
            <w:textDirection w:val="lrTb"/>
            <w:noWrap w:val="false"/>
          </w:tcPr>
          <w:p>
            <w:pPr>
              <w:widowControl w:val="false"/>
              <w:pBdr/>
              <w:spacing w:after="6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</w: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72" w:type="dxa"/>
            <w:textDirection w:val="lrTb"/>
            <w:noWrap w:val="false"/>
          </w:tcPr>
          <w:p>
            <w:pPr>
              <w:widowControl w:val="false"/>
              <w:pBdr/>
              <w:spacing w:after="60"/>
              <w:ind w:hanging="8079" w:left="8079"/>
              <w:rPr/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 xml:space="preserve">EGNUMSTAMP]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07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</w:r>
          </w:p>
        </w:tc>
      </w:tr>
    </w:tbl>
    <w:p>
      <w:pPr>
        <w:pBdr/>
        <w:spacing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</w:r>
    </w:p>
    <w:p>
      <w:pPr>
        <w:widowControl w:val="false"/>
        <w:pBdr/>
        <w:spacing/>
        <w:ind w:left="99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1</w:t>
      </w:r>
      <w:r>
        <w:rPr>
          <w:rFonts w:ascii="Times New Roman" w:hAnsi="Times New Roman"/>
          <w:sz w:val="28"/>
          <w:szCs w:val="28"/>
        </w:rPr>
        <w:br/>
        <w:t xml:space="preserve">к Территориальной программе</w:t>
      </w:r>
      <w:r>
        <w:rPr>
          <w:rFonts w:ascii="Times New Roman" w:hAnsi="Times New Roman"/>
          <w:sz w:val="28"/>
          <w:szCs w:val="28"/>
        </w:rPr>
        <w:br/>
        <w:t xml:space="preserve">государственных гарантий бесплатного</w:t>
      </w:r>
      <w:r>
        <w:rPr>
          <w:rFonts w:ascii="Times New Roman" w:hAnsi="Times New Roman"/>
          <w:sz w:val="28"/>
          <w:szCs w:val="28"/>
        </w:rPr>
        <w:br/>
        <w:t xml:space="preserve">оказания гражданам медицинской помощи</w:t>
      </w:r>
      <w:r>
        <w:rPr>
          <w:rFonts w:ascii="Times New Roman" w:hAnsi="Times New Roman"/>
          <w:sz w:val="28"/>
          <w:szCs w:val="28"/>
        </w:rPr>
        <w:br/>
        <w:t xml:space="preserve">на территории Камчатского края на 2024 год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false"/>
        <w:pBdr/>
        <w:spacing/>
        <w:ind w:firstLine="708"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на плановый период 2025 и 2026 годов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false"/>
        <w:pBdr/>
        <w:spacing/>
        <w:ind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widowControl w:val="false"/>
        <w:pBdr/>
        <w:spacing/>
        <w:in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false"/>
        <w:pBdr/>
        <w:spacing/>
        <w:in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медицинских организаций, участвующих в реализации территориальной программы государственных гарантий, в том числе территориальной программы обязательного медицинского страхования, и перечень медицинских организаций, проводящих профилактические меди</w:t>
      </w:r>
      <w:r>
        <w:rPr>
          <w:rFonts w:ascii="Times New Roman" w:hAnsi="Times New Roman"/>
          <w:sz w:val="28"/>
          <w:szCs w:val="28"/>
        </w:rPr>
        <w:t xml:space="preserve">цинские осмотры и диспансеризацию, в том числе углубленную диспансеризацию в 2024 году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false"/>
        <w:pBdr/>
        <w:spacing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tbl>
      <w:tblPr>
        <w:tblStyle w:val="102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283"/>
        <w:gridCol w:w="4155"/>
        <w:gridCol w:w="1183"/>
        <w:gridCol w:w="1149"/>
        <w:gridCol w:w="1007"/>
        <w:gridCol w:w="1007"/>
        <w:gridCol w:w="1023"/>
        <w:gridCol w:w="881"/>
        <w:gridCol w:w="866"/>
        <w:gridCol w:w="865"/>
        <w:gridCol w:w="832"/>
        <w:gridCol w:w="866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N п/п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Код медицинской организации по реестру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Наименование медицинской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67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 том числе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3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Осуществляющие деятельность в рамках выполнения государственного задания за счет средств бюджетных ассигнований бюджета субъекта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Осуществляющие деятельность в сфере обязательного медицинского страхования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4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из 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3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Проводящие профилактические медицинские осмотры и диспансеризацию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03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Проводящие диспансерное 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Проводящие медицинскую реабилитацию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6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углубленную диспансеризацию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для оценки репродуктивного здоровья женщин и мужчин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амбулаторных условиях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условиях дневных стационаров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условиях круглосуточных стационаров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pPr>
        <w:widowControl w:val="false"/>
        <w:pBdr/>
        <w:spacing/>
        <w:ind/>
        <w:jc w:val="right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</w:r>
      <w:r>
        <w:rPr>
          <w:rFonts w:ascii="Times New Roman" w:hAnsi="Times New Roman"/>
          <w:sz w:val="4"/>
          <w:szCs w:val="4"/>
        </w:rPr>
      </w:r>
      <w:r>
        <w:rPr>
          <w:rFonts w:ascii="Times New Roman" w:hAnsi="Times New Roman"/>
          <w:sz w:val="4"/>
          <w:szCs w:val="4"/>
        </w:rPr>
      </w:r>
    </w:p>
    <w:tbl>
      <w:tblPr>
        <w:tblStyle w:val="102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283"/>
        <w:gridCol w:w="4155"/>
        <w:gridCol w:w="1183"/>
        <w:gridCol w:w="1149"/>
        <w:gridCol w:w="1007"/>
        <w:gridCol w:w="1007"/>
        <w:gridCol w:w="1023"/>
        <w:gridCol w:w="881"/>
        <w:gridCol w:w="866"/>
        <w:gridCol w:w="865"/>
        <w:gridCol w:w="832"/>
        <w:gridCol w:w="865"/>
      </w:tblGrid>
      <w:tr>
        <w:trPr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41202403000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«Камчатская краевая больница им. А.С. Лукашевского»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41202400900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«Камчатская краевая детская 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«Камчатская краевая стоматологическая поликлиника»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41202405700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«Камчатский краевой кожно-венерологический диспансер»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41202400400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«Камчатский краевой кардиологический диспансер»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41202405300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«Камчатский краевой онкологический диспансер»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7.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41202404800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«Корякская окружная 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41202402500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Камчатского края «Петропавловск-Камчатская городская больница № 1»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41202404200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Камчатского края «Петропавловск-Камчатская городская больница № 2»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41202400500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Камчатского края «Петропавловск-Камчатская городская гериатрическая 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41202403500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Камчатского края «Петропавловск-Камчатская городская поликлиника № 1»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41202400600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Камчатского края «Петропавловск-Камчатская городская поликлиника № 3»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41202402300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«Камчатский краевой центр общественного здоровья и медицинской профилактики»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14.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41202400700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«Камчатский краевой родильный дом»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Камчатского края «Петропавловск-Камчатская городская стоматологическая поликлиника»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41202402200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Камчатского края «Петропавловск-Камчатская городская детская поликлиника № 1»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41202404600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Камчатского края «Петропавловск-Камчатская городская детская поликлиника № 2»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41202404500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Камчатского края «Петропавловск-Камчатская городская детская стоматологическая поликлиника»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19.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41202402600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«Камчатская краевая детская инфекционная 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20.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41202400300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Камчатского края «Петропавловск-Камчатская городская станция скорой медицинской помощи»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21.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Камчатского края «Елизовская районная 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22.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41202402100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Камчатского края «Елизовская станция скорой медицинской помощи»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23.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41202401200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Камчатского края «Елизовская районная стоматологическая поликлиника»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41202401900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Камчатского края «Мильковская районная 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25.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41202404100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Камчатского края «Усть-Большерецкая районная 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26.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41202404400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Камчатского края «Озерновская районная 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27.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41202405000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Камчатского края «Усть-Камчатская районная 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28.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41202404900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Камчатского края «Ключевская районная 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29.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41202404700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Камчатского края «Соболевская районная 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30.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41202405900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Камчатского края «Быстринская районная 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31.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41202405200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Камчатского края «Вилючинская городская 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32.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41202402800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Камчатского края «Никольская районная 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33.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41202405600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Камчатского края «Тигильская районная 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34.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41202401300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Камчатского края «Карагинская районная 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35.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41202402400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Камчатского края «Олюторская районная 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36.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41202404300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Камчатского края «Пенжинская районная 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37.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41202403800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«Камчатский краевой центр по профилактике и борьбе со СПИД и инфекционными заболеваниями»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38.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41202401600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«Камчатский краевой противотуберкулезный диспансер»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39.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41202403301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Филиал № 2 федерального государственного казенного учреждения «1477 военно-морской клинический госпиталь» Министерства обороны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40.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41202401101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Камчатская больница федерального государственного бюджетного учреждения «Дальневосточный окружной медицинский центр Федерального медико-биологического агентства»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41202403900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Федеральное казенное учреждение здравоохранения «Медико-санитарная часть Министерства внутренних дел Российской Федерации по Камчатскому краю»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42.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41202402900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«Камчатская неврологическая клиника»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43.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Филиал общества с ограниченной ответственностью «Байкальская медицинская компания» в г. Петропавловск-Камчатский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44.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41202403100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реабилитационный центр «Ормедиум»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45.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41202403700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Дальневосточный центр оздоровления и медико-социальной реабилитации детей с ограниченными возможностями «Жемчужина Камчатки»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46.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41202401700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«Импульс»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47.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41202400800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«ЭКО Центр»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48.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41202405100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«М-Лайн»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49.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41202402700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«Камчатский краевой психоневрологический диспансер»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50.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«Камчатский краевой наркологический диспансер»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51.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Краевое государственное казенное учреждение здравоохранения «Камчатский краевой территориальный центр медицины катастроф»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52.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Краевое государственное казенное учреждение здравоохранения «Камчатский краевой медицинский центр мобилизационных резервов «Резерв»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53.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«Камчатская краевая станция переливания крови»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54.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«Камчатское краевое бюро судебно-медицинской экспертизы»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55.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Краевое государственное бюджетное учреждение здравоохранения «Камчатский краевой медицинский информационно –  аналитический центр»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56.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41202405800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«Юнилаб-Хабаровск»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57.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41202400101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Камчатский филиал автономной некоммерческой организации «Медицинский центр «Жизнь»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58.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41202403600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Краевое государственное бюджетное учреждение здравоохранения «Детская краевая клиническая больница» имени А.К. Пиотровича Министерства здравоохранения Хабаровского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59.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41202401400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«Центр инновационной эмбриологии и репродуктологии «Эмбрилайф»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60.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41202403400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«Научно-производственная фирма «Хеликс»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61.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41202401800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«Виталаб»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62.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41202400200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«Хабаровский центр хирургии глаза»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63.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41202406100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«Афина»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64.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41202406200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Краевое государственное автономное учреждение социальной защиты «Многопрофильный центр реабилитации»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65.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3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медицинских организаций, участвующих в территориальной программе государственных гарантий, всего, 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66.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3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9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 w:lineRule="auto"/>
              <w: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pPr>
        <w:pBdr/>
        <w:spacing/>
        <w:ind/>
        <w:jc w:val="left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vertAlign w:val="superscript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vertAlign w:val="baseline"/>
        </w:rPr>
        <w:t xml:space="preserve"> заполняется 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знак отличия «1»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Bdr/>
        <w:spacing/>
        <w:ind/>
        <w:jc w:val="right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».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Bdr/>
        <w:spacing/>
        <w:ind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Bdr/>
        <w:spacing/>
        <w:ind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br w:type="page" w:clear="all"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headerReference w:type="default" r:id="rId11"/>
      <w:footnotePr/>
      <w:endnotePr/>
      <w:type w:val="nextPage"/>
      <w:pgSz w:h="11906" w:orient="portrait" w:w="16838"/>
      <w:pgMar w:top="1263" w:right="638" w:bottom="969" w:left="660" w:header="704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3020204020204"/>
  </w:font>
  <w:font w:name="Open Sans">
    <w:panose1 w:val="020B0606030504020204"/>
  </w:font>
  <w:font w:name="XO Thames">
    <w:panose1 w:val="020206030504050203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7"/>
      <w:pBdr/>
      <w:spacing/>
      <w:ind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  <w:r>
      <w:rPr>
        <w:rFonts w:ascii="Times New Roman" w:hAnsi="Times New Roman"/>
        <w:sz w:val="24"/>
        <w:szCs w:val="24"/>
      </w:rPr>
    </w:r>
    <w:r>
      <w:rPr>
        <w:rFonts w:ascii="Times New Roman" w:hAnsi="Times New Roman"/>
        <w:sz w:val="24"/>
        <w:szCs w:val="24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7"/>
      <w:pBdr/>
      <w:spacing/>
      <w:ind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t xml:space="preserve">6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</w:r>
    <w:r>
      <w:rPr>
        <w:rFonts w:ascii="Times New Roman" w:hAnsi="Times New Roman"/>
        <w:sz w:val="24"/>
      </w:rPr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7"/>
      <w:pBdr/>
      <w:spacing/>
      <w:ind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26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>
      <w:rPr>
        <w:rFonts w:ascii="Times New Roman" w:hAnsi="Times New Roman"/>
        <w:sz w:val="28"/>
        <w:szCs w:val="28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)"/>
      <w:numFmt w:val="decimal"/>
      <w:pPr>
        <w:pBdr/>
        <w:spacing/>
        <w:ind w:hanging="360" w:left="1418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138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858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578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298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018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738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458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178"/>
      </w:pPr>
      <w:rPr/>
      <w:start w:val="1"/>
      <w:suff w:val="tab"/>
    </w:lvl>
  </w:abstractNum>
  <w:abstractNum w:abstractNumId="1">
    <w:lvl w:ilvl="0">
      <w:isLgl w:val="false"/>
      <w:lvlJc w:val="left"/>
      <w:lvlText w:val="%1)"/>
      <w:numFmt w:val="decimal"/>
      <w:pPr>
        <w:pBdr/>
        <w:spacing/>
        <w:ind w:hanging="360" w:left="1249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969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68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40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12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84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56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28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009"/>
      </w:pPr>
      <w:rPr/>
      <w:start w:val="1"/>
      <w:suff w:val="tab"/>
    </w:lvl>
  </w:abstractNum>
  <w:abstractNum w:abstractNumId="2">
    <w:lvl w:ilvl="0">
      <w:isLgl w:val="false"/>
      <w:lvlJc w:val="left"/>
      <w:lvlText w:val="%1)"/>
      <w:numFmt w:val="decimal"/>
      <w:pPr>
        <w:pBdr/>
        <w:spacing/>
        <w:ind w:hanging="360" w:left="1417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137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857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577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297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017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737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457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177"/>
      </w:pPr>
      <w:rPr/>
      <w:start w:val="1"/>
      <w:suff w:val="tab"/>
    </w:lvl>
  </w:abstractNum>
  <w:abstractNum w:abstractNumId="3">
    <w:lvl w:ilvl="0">
      <w:isLgl w:val="false"/>
      <w:lvlJc w:val="left"/>
      <w:lvlText w:val="%1)"/>
      <w:numFmt w:val="decimal"/>
      <w:pPr>
        <w:pBdr/>
        <w:spacing/>
        <w:ind w:hanging="360" w:left="1418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2138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858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578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4298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5018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738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458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7178"/>
      </w:pPr>
      <w:rPr/>
      <w:start w:val="1"/>
      <w:suff w:val="space"/>
    </w:lvl>
  </w:abstractNum>
  <w:abstractNum w:abstractNumId="4">
    <w:lvl w:ilvl="0">
      <w:isLgl w:val="false"/>
      <w:lvlJc w:val="left"/>
      <w:lvlText w:val="%1)"/>
      <w:numFmt w:val="decimal"/>
      <w:pPr>
        <w:pBdr/>
        <w:spacing/>
        <w:ind w:hanging="360" w:left="1418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2138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858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578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4298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5018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738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458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7178"/>
      </w:pPr>
      <w:rPr/>
      <w:start w:val="1"/>
      <w:suff w:val="space"/>
    </w:lvl>
  </w:abstractNum>
  <w:abstractNum w:abstractNumId="5">
    <w:lvl w:ilvl="0">
      <w:isLgl w:val="false"/>
      <w:lvlJc w:val="left"/>
      <w:lvlText w:val="%1)"/>
      <w:numFmt w:val="decimal"/>
      <w:pPr>
        <w:pBdr/>
        <w:spacing/>
        <w:ind w:hanging="360" w:left="1418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2138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858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578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4298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5018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738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458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7178"/>
      </w:pPr>
      <w:rPr/>
      <w:start w:val="1"/>
      <w:suff w:val="space"/>
    </w:lvl>
  </w:abstractNum>
  <w:abstractNum w:abstractNumId="6">
    <w:lvl w:ilvl="0">
      <w:isLgl w:val="false"/>
      <w:lvlJc w:val="left"/>
      <w:lvlText w:val="%1)"/>
      <w:numFmt w:val="decimal"/>
      <w:pPr>
        <w:pBdr/>
        <w:spacing/>
        <w:ind w:hanging="360" w:left="1417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2137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857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577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4297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5017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737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457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7177"/>
      </w:pPr>
      <w:rPr/>
      <w:start w:val="1"/>
      <w:suff w:val="space"/>
    </w:lvl>
  </w:abstractNum>
  <w:abstractNum w:abstractNumId="7">
    <w:lvl w:ilvl="0">
      <w:isLgl w:val="false"/>
      <w:lvlJc w:val="left"/>
      <w:lvlText w:val="%1)"/>
      <w:numFmt w:val="decimal"/>
      <w:pPr>
        <w:pBdr/>
        <w:spacing/>
        <w:ind w:hanging="360" w:left="1418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2138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858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578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4298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5018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738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458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7178"/>
      </w:pPr>
      <w:rPr/>
      <w:start w:val="1"/>
      <w:suff w:val="space"/>
    </w:lvl>
  </w:abstractNum>
  <w:abstractNum w:abstractNumId="8">
    <w:lvl w:ilvl="0">
      <w:isLgl w:val="false"/>
      <w:lvlJc w:val="left"/>
      <w:lvlText w:val="%1)"/>
      <w:numFmt w:val="decimal"/>
      <w:pPr>
        <w:pBdr/>
        <w:spacing/>
        <w:ind w:hanging="360" w:left="1418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2138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858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578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4298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5018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738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458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7178"/>
      </w:pPr>
      <w:rPr/>
      <w:start w:val="1"/>
      <w:suff w:val="space"/>
    </w:lvl>
  </w:abstractNum>
  <w:abstractNum w:abstractNumId="9">
    <w:lvl w:ilvl="0">
      <w:isLgl w:val="false"/>
      <w:lvlJc w:val="left"/>
      <w:lvlText w:val="%1)"/>
      <w:numFmt w:val="decimal"/>
      <w:pPr>
        <w:pBdr/>
        <w:spacing/>
        <w:ind w:hanging="360" w:left="1418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138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858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578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298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018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738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458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178"/>
      </w:pPr>
      <w:rPr/>
      <w:start w:val="1"/>
      <w:suff w:val="tab"/>
    </w:lvl>
  </w:abstractNum>
  <w:abstractNum w:abstractNumId="10">
    <w:lvl w:ilvl="0">
      <w:isLgl w:val="false"/>
      <w:lvlJc w:val="left"/>
      <w:lvlText w:val="%1)"/>
      <w:numFmt w:val="decimal"/>
      <w:pPr>
        <w:pBdr/>
        <w:spacing/>
        <w:ind w:hanging="360" w:left="1418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2138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858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578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4298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5018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738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458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7178"/>
      </w:pPr>
      <w:rPr/>
      <w:start w:val="1"/>
      <w:suff w:val="space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8">
    <w:name w:val="Heading 1 Char"/>
    <w:basedOn w:val="880"/>
    <w:link w:val="875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719">
    <w:name w:val="Heading 2 Char"/>
    <w:basedOn w:val="880"/>
    <w:link w:val="876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720">
    <w:name w:val="Heading 3 Char"/>
    <w:basedOn w:val="880"/>
    <w:link w:val="87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721">
    <w:name w:val="Heading 4 Char"/>
    <w:basedOn w:val="880"/>
    <w:link w:val="878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722">
    <w:name w:val="Heading 5 Char"/>
    <w:basedOn w:val="880"/>
    <w:link w:val="879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723">
    <w:name w:val="Heading 6"/>
    <w:basedOn w:val="874"/>
    <w:next w:val="874"/>
    <w:link w:val="7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4">
    <w:name w:val="Heading 6 Char"/>
    <w:basedOn w:val="880"/>
    <w:link w:val="7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725">
    <w:name w:val="Heading 7"/>
    <w:basedOn w:val="874"/>
    <w:next w:val="874"/>
    <w:link w:val="7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6">
    <w:name w:val="Heading 7 Char"/>
    <w:basedOn w:val="880"/>
    <w:link w:val="7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27">
    <w:name w:val="Heading 8"/>
    <w:basedOn w:val="874"/>
    <w:next w:val="874"/>
    <w:link w:val="7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8">
    <w:name w:val="Heading 8 Char"/>
    <w:basedOn w:val="880"/>
    <w:link w:val="7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729">
    <w:name w:val="Heading 9"/>
    <w:basedOn w:val="874"/>
    <w:next w:val="874"/>
    <w:link w:val="7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0">
    <w:name w:val="Heading 9 Char"/>
    <w:basedOn w:val="880"/>
    <w:link w:val="7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31">
    <w:name w:val="No Spacing"/>
    <w:uiPriority w:val="1"/>
    <w:qFormat/>
    <w:pPr>
      <w:pBdr/>
      <w:spacing w:after="0" w:before="0" w:line="240" w:lineRule="auto"/>
      <w:ind/>
    </w:pPr>
  </w:style>
  <w:style w:type="character" w:styleId="732">
    <w:name w:val="Title Char"/>
    <w:basedOn w:val="880"/>
    <w:link w:val="960"/>
    <w:uiPriority w:val="10"/>
    <w:pPr>
      <w:pBdr/>
      <w:spacing/>
      <w:ind/>
    </w:pPr>
    <w:rPr>
      <w:sz w:val="48"/>
      <w:szCs w:val="48"/>
    </w:rPr>
  </w:style>
  <w:style w:type="character" w:styleId="733">
    <w:name w:val="Subtitle Char"/>
    <w:basedOn w:val="880"/>
    <w:link w:val="986"/>
    <w:uiPriority w:val="11"/>
    <w:pPr>
      <w:pBdr/>
      <w:spacing/>
      <w:ind/>
    </w:pPr>
    <w:rPr>
      <w:sz w:val="24"/>
      <w:szCs w:val="24"/>
    </w:rPr>
  </w:style>
  <w:style w:type="paragraph" w:styleId="734">
    <w:name w:val="Quote"/>
    <w:basedOn w:val="874"/>
    <w:next w:val="874"/>
    <w:link w:val="735"/>
    <w:uiPriority w:val="29"/>
    <w:qFormat/>
    <w:pPr>
      <w:pBdr/>
      <w:spacing/>
      <w:ind w:right="720" w:left="720"/>
    </w:pPr>
    <w:rPr>
      <w:i/>
    </w:rPr>
  </w:style>
  <w:style w:type="character" w:styleId="735">
    <w:name w:val="Quote Char"/>
    <w:link w:val="734"/>
    <w:uiPriority w:val="29"/>
    <w:pPr>
      <w:pBdr/>
      <w:spacing/>
      <w:ind/>
    </w:pPr>
    <w:rPr>
      <w:i/>
    </w:rPr>
  </w:style>
  <w:style w:type="paragraph" w:styleId="736">
    <w:name w:val="Intense Quote"/>
    <w:basedOn w:val="874"/>
    <w:next w:val="874"/>
    <w:link w:val="737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737">
    <w:name w:val="Intense Quote Char"/>
    <w:link w:val="736"/>
    <w:uiPriority w:val="30"/>
    <w:pPr>
      <w:pBdr/>
      <w:spacing/>
      <w:ind/>
    </w:pPr>
    <w:rPr>
      <w:i/>
    </w:rPr>
  </w:style>
  <w:style w:type="character" w:styleId="738">
    <w:name w:val="Header Char"/>
    <w:basedOn w:val="880"/>
    <w:link w:val="977"/>
    <w:uiPriority w:val="99"/>
    <w:pPr>
      <w:pBdr/>
      <w:spacing/>
      <w:ind/>
    </w:pPr>
  </w:style>
  <w:style w:type="character" w:styleId="739">
    <w:name w:val="Footer Char"/>
    <w:basedOn w:val="880"/>
    <w:link w:val="984"/>
    <w:uiPriority w:val="99"/>
    <w:pPr>
      <w:pBdr/>
      <w:spacing/>
      <w:ind/>
    </w:pPr>
  </w:style>
  <w:style w:type="character" w:styleId="740">
    <w:name w:val="Caption Char"/>
    <w:basedOn w:val="963"/>
    <w:link w:val="984"/>
    <w:uiPriority w:val="99"/>
    <w:pPr>
      <w:pBdr/>
      <w:spacing/>
      <w:ind/>
    </w:pPr>
  </w:style>
  <w:style w:type="table" w:styleId="741">
    <w:name w:val="Table Grid Light"/>
    <w:basedOn w:val="88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Plain Table 1"/>
    <w:basedOn w:val="88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Plain Table 2"/>
    <w:basedOn w:val="88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Plain Table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Plain Table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Plain Table 5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1 Light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1 Light - Accent 1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1 Light - Accent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Grid Table 1 Light - Accent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Grid Table 1 Light - Accent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Grid Table 1 Light - Accent 5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Grid Table 1 Light - Accent 6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Grid Table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Grid Table 2 - Accent 1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Grid Table 2 - Accent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Grid Table 2 - Accent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Grid Table 2 - Accent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Grid Table 2 - Accent 5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Grid Table 2 - Accent 6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Grid Table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Grid Table 3 - Accent 1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Grid Table 3 - Accent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Grid Table 3 - Accent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Grid Table 3 - Accent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Grid Table 3 - Accent 5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Grid Table 3 - Accent 6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Grid Table 4"/>
    <w:basedOn w:val="88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Grid Table 4 - Accent 1"/>
    <w:basedOn w:val="88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Grid Table 4 - Accent 2"/>
    <w:basedOn w:val="88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Grid Table 4 - Accent 3"/>
    <w:basedOn w:val="88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Grid Table 4 - Accent 4"/>
    <w:basedOn w:val="88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Grid Table 4 - Accent 5"/>
    <w:basedOn w:val="88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Grid Table 4 - Accent 6"/>
    <w:basedOn w:val="88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Grid Table 5 Dark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Grid Table 5 Dark- Accent 1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Grid Table 5 Dark - Accent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Grid Table 5 Dark - Accent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Grid Table 5 Dark- Accent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Grid Table 5 Dark - Accent 5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Grid Table 5 Dark - Accent 6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Grid Table 6 Colorful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Grid Table 6 Colorful - Accent 1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Grid Table 6 Colorful - Accent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Grid Table 6 Colorful - Accent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Grid Table 6 Colorful - Accent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Grid Table 6 Colorful - Accent 5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Grid Table 6 Colorful - Accent 6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Grid Table 7 Colorful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Grid Table 7 Colorful - Accent 1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Grid Table 7 Colorful - Accent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Grid Table 7 Colorful - Accent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Grid Table 7 Colorful - Accent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Grid Table 7 Colorful - Accent 5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Grid Table 7 Colorful - Accent 6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1 Light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1 Light - Accent 1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1 Light - Accent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st Table 1 Light - Accent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st Table 1 Light - Accent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st Table 1 Light - Accent 5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st Table 1 Light - Accent 6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st Table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st Table 2 - Accent 1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st Table 2 - Accent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List Table 2 - Accent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List Table 2 - Accent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List Table 2 - Accent 5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List Table 2 - Accent 6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List Table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List Table 3 - Accent 1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List Table 3 - Accent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List Table 3 - Accent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List Table 3 - Accent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List Table 3 - Accent 5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List Table 3 - Accent 6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List Table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List Table 4 - Accent 1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List Table 4 - Accent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List Table 4 - Accent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List Table 4 - Accent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List Table 4 - Accent 5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List Table 4 - Accent 6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List Table 5 Dark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List Table 5 Dark - Accent 1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List Table 5 Dark - Accent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List Table 5 Dark - Accent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8">
    <w:name w:val="List Table 5 Dark - Accent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9">
    <w:name w:val="List Table 5 Dark - Accent 5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0">
    <w:name w:val="List Table 5 Dark - Accent 6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1">
    <w:name w:val="List Table 6 Colorful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>
    <w:name w:val="List Table 6 Colorful - Accent 1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>
    <w:name w:val="List Table 6 Colorful - Accent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>
    <w:name w:val="List Table 6 Colorful - Accent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>
    <w:name w:val="List Table 6 Colorful - Accent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>
    <w:name w:val="List Table 6 Colorful - Accent 5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>
    <w:name w:val="List Table 6 Colorful - Accent 6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>
    <w:name w:val="List Table 7 Colorful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9">
    <w:name w:val="List Table 7 Colorful - Accent 1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0">
    <w:name w:val="List Table 7 Colorful - Accent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1">
    <w:name w:val="List Table 7 Colorful - Accent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2">
    <w:name w:val="List Table 7 Colorful - Accent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3">
    <w:name w:val="List Table 7 Colorful - Accent 5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4">
    <w:name w:val="List Table 7 Colorful - Accent 6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5">
    <w:name w:val="Lined - Accent"/>
    <w:basedOn w:val="8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6">
    <w:name w:val="Lined - Accent 1"/>
    <w:basedOn w:val="8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7">
    <w:name w:val="Lined - Accent 2"/>
    <w:basedOn w:val="8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8">
    <w:name w:val="Lined - Accent 3"/>
    <w:basedOn w:val="8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9">
    <w:name w:val="Lined - Accent 4"/>
    <w:basedOn w:val="8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0">
    <w:name w:val="Lined - Accent 5"/>
    <w:basedOn w:val="8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1">
    <w:name w:val="Lined - Accent 6"/>
    <w:basedOn w:val="8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2">
    <w:name w:val="Bordered &amp; Lined - Accent"/>
    <w:basedOn w:val="8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3">
    <w:name w:val="Bordered &amp; Lined - Accent 1"/>
    <w:basedOn w:val="8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4">
    <w:name w:val="Bordered &amp; Lined - Accent 2"/>
    <w:basedOn w:val="8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5">
    <w:name w:val="Bordered &amp; Lined - Accent 3"/>
    <w:basedOn w:val="8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6">
    <w:name w:val="Bordered &amp; Lined - Accent 4"/>
    <w:basedOn w:val="8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7">
    <w:name w:val="Bordered &amp; Lined - Accent 5"/>
    <w:basedOn w:val="8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8">
    <w:name w:val="Bordered &amp; Lined - Accent 6"/>
    <w:basedOn w:val="8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9">
    <w:name w:val="Bordered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0">
    <w:name w:val="Bordered - Accent 1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1">
    <w:name w:val="Bordered - Accent 2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2">
    <w:name w:val="Bordered - Accent 3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3">
    <w:name w:val="Bordered - Accent 4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4">
    <w:name w:val="Bordered - Accent 5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5">
    <w:name w:val="Bordered - Accent 6"/>
    <w:basedOn w:val="8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66">
    <w:name w:val="footnote text"/>
    <w:basedOn w:val="874"/>
    <w:link w:val="867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67">
    <w:name w:val="Footnote Text Char"/>
    <w:link w:val="866"/>
    <w:uiPriority w:val="99"/>
    <w:pPr>
      <w:pBdr/>
      <w:spacing/>
      <w:ind/>
    </w:pPr>
    <w:rPr>
      <w:sz w:val="18"/>
    </w:rPr>
  </w:style>
  <w:style w:type="character" w:styleId="868">
    <w:name w:val="footnote reference"/>
    <w:basedOn w:val="880"/>
    <w:uiPriority w:val="99"/>
    <w:unhideWhenUsed/>
    <w:pPr>
      <w:pBdr/>
      <w:spacing/>
      <w:ind/>
    </w:pPr>
    <w:rPr>
      <w:vertAlign w:val="superscript"/>
    </w:rPr>
  </w:style>
  <w:style w:type="paragraph" w:styleId="869">
    <w:name w:val="endnote text"/>
    <w:basedOn w:val="874"/>
    <w:link w:val="870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70">
    <w:name w:val="Endnote Text Char"/>
    <w:link w:val="869"/>
    <w:uiPriority w:val="99"/>
    <w:pPr>
      <w:pBdr/>
      <w:spacing/>
      <w:ind/>
    </w:pPr>
    <w:rPr>
      <w:sz w:val="20"/>
    </w:rPr>
  </w:style>
  <w:style w:type="character" w:styleId="871">
    <w:name w:val="endnote reference"/>
    <w:basedOn w:val="880"/>
    <w:uiPriority w:val="99"/>
    <w:semiHidden/>
    <w:unhideWhenUsed/>
    <w:pPr>
      <w:pBdr/>
      <w:spacing/>
      <w:ind/>
    </w:pPr>
    <w:rPr>
      <w:vertAlign w:val="superscript"/>
    </w:rPr>
  </w:style>
  <w:style w:type="paragraph" w:styleId="872">
    <w:name w:val="TOC Heading"/>
    <w:uiPriority w:val="39"/>
    <w:unhideWhenUsed/>
    <w:pPr>
      <w:pBdr/>
      <w:spacing/>
      <w:ind/>
    </w:pPr>
  </w:style>
  <w:style w:type="paragraph" w:styleId="873">
    <w:name w:val="table of figures"/>
    <w:basedOn w:val="874"/>
    <w:next w:val="874"/>
    <w:uiPriority w:val="99"/>
    <w:unhideWhenUsed/>
    <w:pPr>
      <w:pBdr/>
      <w:spacing w:after="0" w:afterAutospacing="0"/>
      <w:ind/>
    </w:pPr>
  </w:style>
  <w:style w:type="paragraph" w:styleId="874" w:default="1">
    <w:name w:val="Normal"/>
    <w:link w:val="883"/>
    <w:qFormat/>
    <w:pPr>
      <w:pBdr/>
      <w:spacing/>
      <w:ind/>
    </w:pPr>
  </w:style>
  <w:style w:type="paragraph" w:styleId="875">
    <w:name w:val="Heading 1"/>
    <w:next w:val="874"/>
    <w:link w:val="924"/>
    <w:uiPriority w:val="9"/>
    <w:qFormat/>
    <w:pPr>
      <w:pBdr/>
      <w:spacing w:after="120" w:before="120" w:line="264" w:lineRule="auto"/>
      <w:ind/>
      <w:jc w:val="both"/>
      <w:outlineLvl w:val="0"/>
    </w:pPr>
    <w:rPr>
      <w:rFonts w:ascii="XO Thames" w:hAnsi="XO Thames"/>
      <w:b/>
      <w:sz w:val="32"/>
    </w:rPr>
  </w:style>
  <w:style w:type="paragraph" w:styleId="876">
    <w:name w:val="Heading 2"/>
    <w:next w:val="874"/>
    <w:link w:val="956"/>
    <w:uiPriority w:val="9"/>
    <w:qFormat/>
    <w:pPr>
      <w:pBdr/>
      <w:spacing w:after="120" w:before="120" w:line="264" w:lineRule="auto"/>
      <w:ind/>
      <w:jc w:val="both"/>
      <w:outlineLvl w:val="1"/>
    </w:pPr>
    <w:rPr>
      <w:rFonts w:ascii="XO Thames" w:hAnsi="XO Thames"/>
      <w:b/>
      <w:sz w:val="28"/>
    </w:rPr>
  </w:style>
  <w:style w:type="paragraph" w:styleId="877">
    <w:name w:val="Heading 3"/>
    <w:link w:val="892"/>
    <w:qFormat/>
    <w:pPr>
      <w:pBdr/>
      <w:spacing/>
      <w:ind/>
      <w:outlineLvl w:val="2"/>
    </w:pPr>
    <w:rPr>
      <w:rFonts w:ascii="XO Thames" w:hAnsi="XO Thames"/>
      <w:b/>
      <w:sz w:val="26"/>
    </w:rPr>
  </w:style>
  <w:style w:type="paragraph" w:styleId="878">
    <w:name w:val="Heading 4"/>
    <w:next w:val="874"/>
    <w:link w:val="954"/>
    <w:uiPriority w:val="9"/>
    <w:qFormat/>
    <w:pPr>
      <w:pBdr/>
      <w:spacing w:after="120" w:before="120" w:line="264" w:lineRule="auto"/>
      <w:ind/>
      <w:jc w:val="both"/>
      <w:outlineLvl w:val="3"/>
    </w:pPr>
    <w:rPr>
      <w:rFonts w:ascii="XO Thames" w:hAnsi="XO Thames"/>
      <w:b/>
      <w:sz w:val="24"/>
    </w:rPr>
  </w:style>
  <w:style w:type="paragraph" w:styleId="879">
    <w:name w:val="Heading 5"/>
    <w:next w:val="874"/>
    <w:link w:val="920"/>
    <w:uiPriority w:val="9"/>
    <w:qFormat/>
    <w:pPr>
      <w:pBdr/>
      <w:spacing w:after="120" w:before="120" w:line="264" w:lineRule="auto"/>
      <w:ind/>
      <w:jc w:val="both"/>
      <w:outlineLvl w:val="4"/>
    </w:pPr>
    <w:rPr>
      <w:rFonts w:ascii="XO Thames" w:hAnsi="XO Thames"/>
      <w:b/>
    </w:rPr>
  </w:style>
  <w:style w:type="character" w:styleId="880" w:default="1">
    <w:name w:val="Default Paragraph Font"/>
    <w:uiPriority w:val="1"/>
    <w:semiHidden/>
    <w:unhideWhenUsed/>
    <w:pPr>
      <w:pBdr/>
      <w:spacing/>
      <w:ind/>
    </w:pPr>
  </w:style>
  <w:style w:type="table" w:styleId="881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82" w:default="1">
    <w:name w:val="No List"/>
    <w:uiPriority w:val="99"/>
    <w:semiHidden/>
    <w:unhideWhenUsed/>
    <w:pPr>
      <w:pBdr/>
      <w:spacing/>
      <w:ind/>
    </w:pPr>
  </w:style>
  <w:style w:type="character" w:styleId="883" w:customStyle="1">
    <w:name w:val="Обычный1"/>
    <w:link w:val="1004"/>
    <w:qFormat/>
    <w:pPr>
      <w:pBdr/>
      <w:spacing/>
      <w:ind/>
    </w:pPr>
    <w:rPr>
      <w:rFonts w:asciiTheme="minorHAnsi" w:hAnsiTheme="minorHAnsi"/>
      <w:color w:val="000000"/>
      <w:spacing w:val="0"/>
      <w:sz w:val="22"/>
    </w:rPr>
  </w:style>
  <w:style w:type="character" w:styleId="884" w:customStyle="1">
    <w:name w:val="Оглавление 2 Знак1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885" w:customStyle="1">
    <w:name w:val="Оглавление 4 Знак1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886" w:customStyle="1">
    <w:name w:val="Оглавление 4 Знак"/>
    <w:link w:val="967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887" w:customStyle="1">
    <w:name w:val="Оглавление 6 Знак1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888" w:customStyle="1">
    <w:name w:val="Оглавление 7 Знак1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889" w:customStyle="1">
    <w:name w:val="Заголовок 31"/>
    <w:qFormat/>
    <w:pPr>
      <w:pBdr/>
      <w:spacing/>
      <w:ind/>
    </w:pPr>
    <w:rPr>
      <w:rFonts w:ascii="XO Thames" w:hAnsi="XO Thames"/>
      <w:b/>
      <w:color w:val="000000"/>
      <w:spacing w:val="0"/>
      <w:sz w:val="26"/>
    </w:rPr>
  </w:style>
  <w:style w:type="character" w:styleId="890" w:customStyle="1">
    <w:name w:val="Contents 6"/>
    <w:link w:val="970"/>
    <w:qFormat/>
    <w:pPr>
      <w:pBdr/>
      <w:spacing/>
      <w:ind/>
    </w:pPr>
    <w:rPr>
      <w:rFonts w:ascii="XO Thames" w:hAnsi="XO Thames"/>
      <w:color w:val="000000"/>
      <w:sz w:val="28"/>
    </w:rPr>
  </w:style>
  <w:style w:type="character" w:styleId="891" w:customStyle="1">
    <w:name w:val="Contents 5"/>
    <w:qFormat/>
    <w:pPr>
      <w:pBdr/>
      <w:spacing/>
      <w:ind/>
    </w:pPr>
    <w:rPr>
      <w:rFonts w:ascii="XO Thames" w:hAnsi="XO Thames"/>
      <w:color w:val="000000"/>
      <w:sz w:val="28"/>
    </w:rPr>
  </w:style>
  <w:style w:type="character" w:styleId="892" w:customStyle="1">
    <w:name w:val="Заголовок 3 Знак1"/>
    <w:link w:val="877"/>
    <w:qFormat/>
    <w:pPr>
      <w:pBdr/>
      <w:spacing/>
      <w:ind/>
    </w:pPr>
    <w:rPr>
      <w:rFonts w:ascii="XO Thames" w:hAnsi="XO Thames"/>
      <w:b/>
      <w:color w:val="000000"/>
      <w:sz w:val="26"/>
    </w:rPr>
  </w:style>
  <w:style w:type="character" w:styleId="893" w:customStyle="1">
    <w:name w:val="Заголовок 1 Знак"/>
    <w:link w:val="973"/>
    <w:qFormat/>
    <w:pPr>
      <w:pBdr/>
      <w:spacing/>
      <w:ind/>
    </w:pPr>
    <w:rPr>
      <w:rFonts w:ascii="XO Thames" w:hAnsi="XO Thames"/>
      <w:b/>
      <w:color w:val="000000"/>
      <w:spacing w:val="0"/>
      <w:sz w:val="32"/>
    </w:rPr>
  </w:style>
  <w:style w:type="character" w:styleId="894" w:customStyle="1">
    <w:name w:val="Оглавление 2 Знак"/>
    <w:link w:val="1021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895" w:customStyle="1">
    <w:name w:val="Заголовок 11"/>
    <w:qFormat/>
    <w:pPr>
      <w:pBdr/>
      <w:spacing/>
      <w:ind/>
    </w:pPr>
    <w:rPr>
      <w:rFonts w:ascii="XO Thames" w:hAnsi="XO Thames"/>
      <w:b/>
      <w:color w:val="000000"/>
      <w:sz w:val="32"/>
    </w:rPr>
  </w:style>
  <w:style w:type="character" w:styleId="896" w:customStyle="1">
    <w:name w:val="Оглавление 3 Знак"/>
    <w:link w:val="975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897" w:customStyle="1">
    <w:name w:val="Название объекта1"/>
    <w:basedOn w:val="883"/>
    <w:qFormat/>
    <w:pPr>
      <w:pBdr/>
      <w:spacing/>
      <w:ind/>
    </w:pPr>
    <w:rPr>
      <w:rFonts w:asciiTheme="minorHAnsi" w:hAnsiTheme="minorHAnsi"/>
      <w:i/>
      <w:color w:val="000000"/>
      <w:spacing w:val="0"/>
      <w:sz w:val="24"/>
    </w:rPr>
  </w:style>
  <w:style w:type="character" w:styleId="898" w:customStyle="1">
    <w:name w:val="Список1"/>
    <w:basedOn w:val="921"/>
    <w:qFormat/>
    <w:pPr>
      <w:pBdr/>
      <w:spacing/>
      <w:ind/>
    </w:pPr>
    <w:rPr>
      <w:rFonts w:asciiTheme="minorHAnsi" w:hAnsiTheme="minorHAnsi"/>
      <w:color w:val="000000"/>
      <w:spacing w:val="0"/>
      <w:sz w:val="22"/>
    </w:rPr>
  </w:style>
  <w:style w:type="character" w:styleId="899" w:customStyle="1">
    <w:name w:val="Верхний колонтитул1"/>
    <w:basedOn w:val="883"/>
    <w:qFormat/>
    <w:pPr>
      <w:pBdr/>
      <w:spacing/>
      <w:ind/>
    </w:pPr>
    <w:rPr>
      <w:rFonts w:asciiTheme="minorHAnsi" w:hAnsiTheme="minorHAnsi"/>
      <w:color w:val="000000"/>
      <w:spacing w:val="0"/>
      <w:sz w:val="22"/>
    </w:rPr>
  </w:style>
  <w:style w:type="character" w:styleId="900" w:customStyle="1">
    <w:name w:val="Contents 7"/>
    <w:link w:val="978"/>
    <w:qFormat/>
    <w:pPr>
      <w:pBdr/>
      <w:spacing/>
      <w:ind/>
    </w:pPr>
    <w:rPr>
      <w:rFonts w:ascii="XO Thames" w:hAnsi="XO Thames"/>
      <w:color w:val="000000"/>
      <w:sz w:val="28"/>
    </w:rPr>
  </w:style>
  <w:style w:type="character" w:styleId="901" w:customStyle="1">
    <w:name w:val="Contents 1"/>
    <w:qFormat/>
    <w:pPr>
      <w:pBdr/>
      <w:spacing/>
      <w:ind/>
    </w:pPr>
    <w:rPr>
      <w:rFonts w:ascii="XO Thames" w:hAnsi="XO Thames"/>
      <w:b/>
      <w:color w:val="000000"/>
      <w:sz w:val="28"/>
    </w:rPr>
  </w:style>
  <w:style w:type="character" w:styleId="902" w:customStyle="1">
    <w:name w:val="Оглавление 1 Знак"/>
    <w:link w:val="980"/>
    <w:qFormat/>
    <w:pPr>
      <w:pBdr/>
      <w:spacing/>
      <w:ind/>
    </w:pPr>
    <w:rPr>
      <w:rFonts w:ascii="XO Thames" w:hAnsi="XO Thames"/>
      <w:b/>
      <w:color w:val="000000"/>
      <w:spacing w:val="0"/>
      <w:sz w:val="28"/>
    </w:rPr>
  </w:style>
  <w:style w:type="character" w:styleId="903" w:customStyle="1">
    <w:name w:val="Абзац списка Знак"/>
    <w:basedOn w:val="883"/>
    <w:link w:val="981"/>
    <w:qFormat/>
    <w:pPr>
      <w:pBdr/>
      <w:spacing/>
      <w:ind/>
    </w:pPr>
    <w:rPr>
      <w:rFonts w:asciiTheme="minorHAnsi" w:hAnsiTheme="minorHAnsi"/>
      <w:color w:val="000000"/>
      <w:spacing w:val="0"/>
      <w:sz w:val="22"/>
    </w:rPr>
  </w:style>
  <w:style w:type="character" w:styleId="904" w:customStyle="1">
    <w:name w:val="Заголовок1"/>
    <w:qFormat/>
    <w:pPr>
      <w:pBdr/>
      <w:spacing/>
      <w:ind/>
    </w:pPr>
    <w:rPr>
      <w:rFonts w:ascii="XO Thames" w:hAnsi="XO Thames"/>
      <w:b/>
      <w:caps/>
      <w:color w:val="000000"/>
      <w:spacing w:val="0"/>
      <w:sz w:val="40"/>
    </w:rPr>
  </w:style>
  <w:style w:type="character" w:styleId="905" w:customStyle="1">
    <w:name w:val="Содержимое таблицы"/>
    <w:basedOn w:val="883"/>
    <w:link w:val="982"/>
    <w:qFormat/>
    <w:pPr>
      <w:pBdr/>
      <w:spacing/>
      <w:ind/>
    </w:pPr>
    <w:rPr>
      <w:rFonts w:asciiTheme="minorHAnsi" w:hAnsiTheme="minorHAnsi"/>
      <w:color w:val="000000"/>
      <w:spacing w:val="0"/>
      <w:sz w:val="22"/>
    </w:rPr>
  </w:style>
  <w:style w:type="character" w:styleId="906" w:customStyle="1">
    <w:name w:val="Гиперссылка1"/>
    <w:basedOn w:val="948"/>
    <w:link w:val="983"/>
    <w:qFormat/>
    <w:pPr>
      <w:pBdr/>
      <w:spacing/>
      <w:ind/>
    </w:pPr>
    <w:rPr>
      <w:rFonts w:asciiTheme="minorHAnsi" w:hAnsiTheme="minorHAnsi"/>
      <w:color w:val="0563c1" w:themeColor="hyperlink"/>
      <w:spacing w:val="0"/>
      <w:sz w:val="22"/>
      <w:u w:val="single"/>
    </w:rPr>
  </w:style>
  <w:style w:type="character" w:styleId="907" w:customStyle="1">
    <w:name w:val="Нижний колонтитул1"/>
    <w:basedOn w:val="883"/>
    <w:qFormat/>
    <w:pPr>
      <w:pBdr/>
      <w:spacing/>
      <w:ind/>
    </w:pPr>
    <w:rPr>
      <w:rFonts w:ascii="Times New Roman" w:hAnsi="Times New Roman"/>
      <w:color w:val="000000"/>
      <w:spacing w:val="0"/>
      <w:sz w:val="28"/>
    </w:rPr>
  </w:style>
  <w:style w:type="character" w:styleId="908" w:customStyle="1">
    <w:name w:val="ConsPlusTitle"/>
    <w:link w:val="985"/>
    <w:qFormat/>
    <w:pPr>
      <w:pBdr/>
      <w:spacing/>
      <w:ind/>
    </w:pPr>
    <w:rPr>
      <w:rFonts w:ascii="Arial" w:hAnsi="Arial"/>
      <w:b/>
      <w:color w:val="000000"/>
      <w:spacing w:val="0"/>
      <w:sz w:val="20"/>
    </w:rPr>
  </w:style>
  <w:style w:type="character" w:styleId="909" w:customStyle="1">
    <w:name w:val="Подзаголовок1"/>
    <w:qFormat/>
    <w:pPr>
      <w:pBdr/>
      <w:spacing/>
      <w:ind/>
    </w:pPr>
    <w:rPr>
      <w:rFonts w:ascii="XO Thames" w:hAnsi="XO Thames"/>
      <w:i/>
      <w:color w:val="000000"/>
      <w:spacing w:val="0"/>
      <w:sz w:val="24"/>
    </w:rPr>
  </w:style>
  <w:style w:type="character" w:styleId="910" w:customStyle="1">
    <w:name w:val="Заголовок 41"/>
    <w:qFormat/>
    <w:pPr>
      <w:pBdr/>
      <w:spacing/>
      <w:ind/>
    </w:pPr>
    <w:rPr>
      <w:rFonts w:ascii="XO Thames" w:hAnsi="XO Thames"/>
      <w:b/>
      <w:color w:val="000000"/>
      <w:sz w:val="24"/>
    </w:rPr>
  </w:style>
  <w:style w:type="character" w:styleId="911" w:customStyle="1">
    <w:name w:val="Оглавление 3 Знак1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912" w:customStyle="1">
    <w:name w:val="Contents 2"/>
    <w:link w:val="988"/>
    <w:qFormat/>
    <w:pPr>
      <w:pBdr/>
      <w:spacing/>
      <w:ind/>
    </w:pPr>
    <w:rPr>
      <w:rFonts w:ascii="XO Thames" w:hAnsi="XO Thames"/>
      <w:color w:val="000000"/>
      <w:sz w:val="28"/>
    </w:rPr>
  </w:style>
  <w:style w:type="character" w:styleId="913" w:customStyle="1">
    <w:name w:val="Заголовок 4 Знак"/>
    <w:link w:val="989"/>
    <w:qFormat/>
    <w:pPr>
      <w:pBdr/>
      <w:spacing/>
      <w:ind/>
    </w:pPr>
    <w:rPr>
      <w:rFonts w:ascii="XO Thames" w:hAnsi="XO Thames"/>
      <w:b/>
      <w:color w:val="000000"/>
      <w:spacing w:val="0"/>
      <w:sz w:val="24"/>
    </w:rPr>
  </w:style>
  <w:style w:type="character" w:styleId="914" w:customStyle="1">
    <w:name w:val="Заголовок 51"/>
    <w:qFormat/>
    <w:pPr>
      <w:pBdr/>
      <w:spacing/>
      <w:ind/>
    </w:pPr>
    <w:rPr>
      <w:rFonts w:ascii="XO Thames" w:hAnsi="XO Thames"/>
      <w:b/>
      <w:color w:val="000000"/>
      <w:sz w:val="22"/>
    </w:rPr>
  </w:style>
  <w:style w:type="character" w:styleId="915" w:customStyle="1">
    <w:name w:val="Название объекта Знак"/>
    <w:link w:val="963"/>
    <w:qFormat/>
    <w:pPr>
      <w:pBdr/>
      <w:spacing/>
      <w:ind/>
    </w:pPr>
    <w:rPr>
      <w:i/>
      <w:sz w:val="24"/>
    </w:rPr>
  </w:style>
  <w:style w:type="character" w:styleId="916" w:customStyle="1">
    <w:name w:val="Заголовок 2 Знак"/>
    <w:link w:val="990"/>
    <w:qFormat/>
    <w:pPr>
      <w:pBdr/>
      <w:spacing/>
      <w:ind/>
    </w:pPr>
    <w:rPr>
      <w:rFonts w:ascii="XO Thames" w:hAnsi="XO Thames"/>
      <w:b/>
      <w:color w:val="000000"/>
      <w:spacing w:val="0"/>
      <w:sz w:val="28"/>
    </w:rPr>
  </w:style>
  <w:style w:type="character" w:styleId="917" w:customStyle="1">
    <w:name w:val="Заголовок2"/>
    <w:basedOn w:val="883"/>
    <w:qFormat/>
    <w:pPr>
      <w:pBdr/>
      <w:spacing/>
      <w:ind/>
    </w:pPr>
    <w:rPr>
      <w:rFonts w:ascii="Open Sans" w:hAnsi="Open Sans"/>
      <w:color w:val="000000"/>
      <w:spacing w:val="0"/>
      <w:sz w:val="28"/>
    </w:rPr>
  </w:style>
  <w:style w:type="character" w:styleId="918" w:customStyle="1">
    <w:name w:val="Содержимое врезки"/>
    <w:basedOn w:val="883"/>
    <w:link w:val="991"/>
    <w:qFormat/>
    <w:pPr>
      <w:pBdr/>
      <w:spacing/>
      <w:ind/>
    </w:pPr>
    <w:rPr>
      <w:rFonts w:asciiTheme="minorHAnsi" w:hAnsiTheme="minorHAnsi"/>
      <w:color w:val="000000"/>
      <w:spacing w:val="0"/>
      <w:sz w:val="22"/>
    </w:rPr>
  </w:style>
  <w:style w:type="character" w:styleId="919" w:customStyle="1">
    <w:name w:val="Нижний колонтитул Знак1"/>
    <w:link w:val="984"/>
    <w:qFormat/>
    <w:pPr>
      <w:pBdr/>
      <w:spacing/>
      <w:ind/>
    </w:pPr>
    <w:rPr>
      <w:rFonts w:ascii="Times New Roman" w:hAnsi="Times New Roman"/>
      <w:sz w:val="28"/>
    </w:rPr>
  </w:style>
  <w:style w:type="character" w:styleId="920" w:customStyle="1">
    <w:name w:val="Заголовок 5 Знак1"/>
    <w:link w:val="879"/>
    <w:qFormat/>
    <w:pPr>
      <w:pBdr/>
      <w:spacing/>
      <w:ind/>
    </w:pPr>
    <w:rPr>
      <w:rFonts w:ascii="XO Thames" w:hAnsi="XO Thames"/>
      <w:b/>
      <w:color w:val="000000"/>
      <w:spacing w:val="0"/>
      <w:sz w:val="22"/>
    </w:rPr>
  </w:style>
  <w:style w:type="character" w:styleId="921" w:customStyle="1">
    <w:name w:val="Основной текст Знак"/>
    <w:basedOn w:val="883"/>
    <w:qFormat/>
    <w:pPr>
      <w:pBdr/>
      <w:spacing/>
      <w:ind/>
    </w:pPr>
    <w:rPr>
      <w:rFonts w:asciiTheme="minorHAnsi" w:hAnsiTheme="minorHAnsi"/>
      <w:color w:val="000000"/>
      <w:spacing w:val="0"/>
      <w:sz w:val="22"/>
    </w:rPr>
  </w:style>
  <w:style w:type="character" w:styleId="922" w:customStyle="1">
    <w:name w:val="Колонтитул"/>
    <w:link w:val="976"/>
    <w:qFormat/>
    <w:pPr>
      <w:pBdr/>
      <w:spacing/>
      <w:ind/>
    </w:pPr>
    <w:rPr>
      <w:rFonts w:ascii="XO Thames" w:hAnsi="XO Thames"/>
      <w:color w:val="000000"/>
      <w:spacing w:val="0"/>
      <w:sz w:val="20"/>
    </w:rPr>
  </w:style>
  <w:style w:type="character" w:styleId="923" w:customStyle="1">
    <w:name w:val="Contents 8"/>
    <w:qFormat/>
    <w:pPr>
      <w:pBdr/>
      <w:spacing/>
      <w:ind/>
    </w:pPr>
    <w:rPr>
      <w:rFonts w:ascii="XO Thames" w:hAnsi="XO Thames"/>
      <w:color w:val="000000"/>
      <w:sz w:val="28"/>
    </w:rPr>
  </w:style>
  <w:style w:type="character" w:styleId="924" w:customStyle="1">
    <w:name w:val="Заголовок 1 Знак1"/>
    <w:link w:val="875"/>
    <w:qFormat/>
    <w:pPr>
      <w:pBdr/>
      <w:spacing/>
      <w:ind/>
    </w:pPr>
    <w:rPr>
      <w:rFonts w:ascii="XO Thames" w:hAnsi="XO Thames"/>
      <w:b/>
      <w:color w:val="000000"/>
      <w:spacing w:val="0"/>
      <w:sz w:val="32"/>
    </w:rPr>
  </w:style>
  <w:style w:type="character" w:styleId="925" w:customStyle="1">
    <w:name w:val="Текст выноски Знак"/>
    <w:basedOn w:val="883"/>
    <w:link w:val="993"/>
    <w:qFormat/>
    <w:pPr>
      <w:pBdr/>
      <w:spacing/>
      <w:ind/>
    </w:pPr>
    <w:rPr>
      <w:rFonts w:ascii="Segoe UI" w:hAnsi="Segoe UI"/>
      <w:color w:val="000000"/>
      <w:spacing w:val="0"/>
      <w:sz w:val="18"/>
    </w:rPr>
  </w:style>
  <w:style w:type="character" w:styleId="926" w:customStyle="1">
    <w:name w:val="Internet link"/>
    <w:basedOn w:val="880"/>
    <w:link w:val="994"/>
    <w:qFormat/>
    <w:pPr>
      <w:pBdr/>
      <w:spacing/>
      <w:ind/>
    </w:pPr>
    <w:rPr>
      <w:color w:val="0563c1" w:themeColor="hyperlink"/>
      <w:u w:val="single"/>
    </w:rPr>
  </w:style>
  <w:style w:type="character" w:styleId="927" w:customStyle="1">
    <w:name w:val="Верхний колонтитул Знак"/>
    <w:basedOn w:val="883"/>
    <w:link w:val="995"/>
    <w:qFormat/>
    <w:pPr>
      <w:pBdr/>
      <w:spacing/>
      <w:ind/>
    </w:pPr>
    <w:rPr>
      <w:rFonts w:asciiTheme="minorHAnsi" w:hAnsiTheme="minorHAnsi"/>
      <w:color w:val="000000"/>
      <w:spacing w:val="0"/>
      <w:sz w:val="22"/>
    </w:rPr>
  </w:style>
  <w:style w:type="character" w:styleId="928">
    <w:name w:val="Hyperlink"/>
    <w:basedOn w:val="880"/>
    <w:pPr>
      <w:pBdr/>
      <w:spacing/>
      <w:ind/>
    </w:pPr>
    <w:rPr>
      <w:color w:val="0563c1" w:themeColor="hyperlink"/>
      <w:u w:val="single"/>
    </w:rPr>
  </w:style>
  <w:style w:type="character" w:styleId="929" w:customStyle="1">
    <w:name w:val="Footnote"/>
    <w:link w:val="997"/>
    <w:qFormat/>
    <w:pPr>
      <w:pBdr/>
      <w:spacing/>
      <w:ind/>
    </w:pPr>
    <w:rPr>
      <w:rFonts w:ascii="XO Thames" w:hAnsi="XO Thames"/>
      <w:color w:val="000000"/>
      <w:spacing w:val="0"/>
      <w:sz w:val="22"/>
    </w:rPr>
  </w:style>
  <w:style w:type="character" w:styleId="930" w:customStyle="1">
    <w:name w:val="Оглавление 1 Знак1"/>
    <w:link w:val="979"/>
    <w:qFormat/>
    <w:pPr>
      <w:pBdr/>
      <w:spacing/>
      <w:ind/>
    </w:pPr>
    <w:rPr>
      <w:rFonts w:ascii="XO Thames" w:hAnsi="XO Thames"/>
      <w:b/>
      <w:color w:val="000000"/>
      <w:spacing w:val="0"/>
      <w:sz w:val="28"/>
    </w:rPr>
  </w:style>
  <w:style w:type="character" w:styleId="931" w:customStyle="1">
    <w:name w:val="Header and Footer"/>
    <w:qFormat/>
    <w:pPr>
      <w:pBdr/>
      <w:spacing/>
      <w:ind/>
    </w:pPr>
    <w:rPr>
      <w:rFonts w:ascii="XO Thames" w:hAnsi="XO Thames"/>
      <w:sz w:val="20"/>
    </w:rPr>
  </w:style>
  <w:style w:type="character" w:styleId="932" w:customStyle="1">
    <w:name w:val="Оглавление 6 Знак"/>
    <w:link w:val="999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933" w:customStyle="1">
    <w:name w:val="Указатель Знак"/>
    <w:basedOn w:val="883"/>
    <w:link w:val="964"/>
    <w:qFormat/>
    <w:pPr>
      <w:pBdr/>
      <w:spacing/>
      <w:ind/>
    </w:pPr>
    <w:rPr>
      <w:rFonts w:asciiTheme="minorHAnsi" w:hAnsiTheme="minorHAnsi"/>
      <w:color w:val="000000"/>
      <w:spacing w:val="0"/>
      <w:sz w:val="22"/>
    </w:rPr>
  </w:style>
  <w:style w:type="character" w:styleId="934" w:customStyle="1">
    <w:name w:val="Оглавление 9 Знак1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935" w:customStyle="1">
    <w:name w:val="ConsPlusNormal"/>
    <w:link w:val="1001"/>
    <w:qFormat/>
    <w:pPr>
      <w:pBdr/>
      <w:spacing/>
      <w:ind/>
    </w:pPr>
    <w:rPr>
      <w:rFonts w:ascii="Arial" w:hAnsi="Arial"/>
      <w:color w:val="000000"/>
      <w:spacing w:val="0"/>
      <w:sz w:val="20"/>
    </w:rPr>
  </w:style>
  <w:style w:type="character" w:styleId="936" w:customStyle="1">
    <w:name w:val="Contents 3"/>
    <w:link w:val="1002"/>
    <w:qFormat/>
    <w:pPr>
      <w:pBdr/>
      <w:spacing/>
      <w:ind/>
    </w:pPr>
    <w:rPr>
      <w:rFonts w:ascii="XO Thames" w:hAnsi="XO Thames"/>
      <w:color w:val="000000"/>
      <w:sz w:val="28"/>
    </w:rPr>
  </w:style>
  <w:style w:type="character" w:styleId="937" w:customStyle="1">
    <w:name w:val="Contents 9"/>
    <w:link w:val="1003"/>
    <w:qFormat/>
    <w:pPr>
      <w:pBdr/>
      <w:spacing/>
      <w:ind/>
    </w:pPr>
    <w:rPr>
      <w:rFonts w:ascii="XO Thames" w:hAnsi="XO Thames"/>
      <w:color w:val="000000"/>
      <w:sz w:val="28"/>
    </w:rPr>
  </w:style>
  <w:style w:type="character" w:styleId="938" w:customStyle="1">
    <w:name w:val="Оглавление 8 Знак1"/>
    <w:link w:val="992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939" w:customStyle="1">
    <w:name w:val="Contents 4"/>
    <w:link w:val="1006"/>
    <w:qFormat/>
    <w:pPr>
      <w:pBdr/>
      <w:spacing/>
      <w:ind/>
    </w:pPr>
    <w:rPr>
      <w:rFonts w:ascii="XO Thames" w:hAnsi="XO Thames"/>
      <w:color w:val="000000"/>
      <w:sz w:val="28"/>
    </w:rPr>
  </w:style>
  <w:style w:type="character" w:styleId="940" w:customStyle="1">
    <w:name w:val="Оглавление 5 Знак"/>
    <w:link w:val="1007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941" w:customStyle="1">
    <w:name w:val="Text body"/>
    <w:link w:val="1008"/>
    <w:qFormat/>
    <w:pPr>
      <w:pBdr/>
      <w:spacing/>
      <w:ind/>
    </w:pPr>
  </w:style>
  <w:style w:type="character" w:styleId="942" w:customStyle="1">
    <w:name w:val="Заголовок 21"/>
    <w:qFormat/>
    <w:pPr>
      <w:pBdr/>
      <w:spacing/>
      <w:ind/>
    </w:pPr>
    <w:rPr>
      <w:rFonts w:ascii="XO Thames" w:hAnsi="XO Thames"/>
      <w:b/>
      <w:color w:val="000000"/>
      <w:sz w:val="28"/>
    </w:rPr>
  </w:style>
  <w:style w:type="character" w:styleId="943" w:customStyle="1">
    <w:name w:val="Заголовок 3 Знак"/>
    <w:link w:val="1009"/>
    <w:qFormat/>
    <w:pPr>
      <w:pBdr/>
      <w:spacing/>
      <w:ind/>
    </w:pPr>
    <w:rPr>
      <w:rFonts w:ascii="XO Thames" w:hAnsi="XO Thames"/>
      <w:b/>
      <w:color w:val="000000"/>
      <w:spacing w:val="0"/>
      <w:sz w:val="26"/>
    </w:rPr>
  </w:style>
  <w:style w:type="character" w:styleId="944" w:customStyle="1">
    <w:name w:val="Оглавление 5 Знак1"/>
    <w:link w:val="972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945" w:customStyle="1">
    <w:name w:val="Подзаголовок Знак"/>
    <w:link w:val="1011"/>
    <w:qFormat/>
    <w:pPr>
      <w:pBdr/>
      <w:spacing/>
      <w:ind/>
    </w:pPr>
    <w:rPr>
      <w:rFonts w:ascii="XO Thames" w:hAnsi="XO Thames"/>
      <w:i/>
      <w:color w:val="000000"/>
      <w:spacing w:val="0"/>
      <w:sz w:val="24"/>
    </w:rPr>
  </w:style>
  <w:style w:type="character" w:styleId="946" w:customStyle="1">
    <w:name w:val="Нижний колонтитул Знак"/>
    <w:basedOn w:val="883"/>
    <w:link w:val="1012"/>
    <w:qFormat/>
    <w:pPr>
      <w:pBdr/>
      <w:spacing/>
      <w:ind/>
    </w:pPr>
    <w:rPr>
      <w:rFonts w:ascii="Times New Roman" w:hAnsi="Times New Roman"/>
      <w:color w:val="000000"/>
      <w:spacing w:val="0"/>
      <w:sz w:val="28"/>
    </w:rPr>
  </w:style>
  <w:style w:type="character" w:styleId="947" w:customStyle="1">
    <w:name w:val="Текст Знак"/>
    <w:basedOn w:val="883"/>
    <w:link w:val="1013"/>
    <w:qFormat/>
    <w:pPr>
      <w:pBdr/>
      <w:spacing/>
      <w:ind/>
    </w:pPr>
    <w:rPr>
      <w:rFonts w:ascii="Calibri" w:hAnsi="Calibri"/>
      <w:color w:val="000000"/>
      <w:spacing w:val="0"/>
      <w:sz w:val="22"/>
    </w:rPr>
  </w:style>
  <w:style w:type="character" w:styleId="948" w:customStyle="1">
    <w:name w:val="Основной шрифт абзаца1"/>
    <w:link w:val="971"/>
    <w:qFormat/>
    <w:pPr>
      <w:pBdr/>
      <w:spacing/>
      <w:ind/>
    </w:pPr>
    <w:rPr>
      <w:rFonts w:asciiTheme="minorHAnsi" w:hAnsiTheme="minorHAnsi"/>
      <w:color w:val="000000"/>
      <w:spacing w:val="0"/>
      <w:sz w:val="22"/>
    </w:rPr>
  </w:style>
  <w:style w:type="character" w:styleId="949" w:customStyle="1">
    <w:name w:val="Список Знак"/>
    <w:basedOn w:val="941"/>
    <w:link w:val="962"/>
    <w:qFormat/>
    <w:pPr>
      <w:pBdr/>
      <w:spacing/>
      <w:ind/>
    </w:pPr>
  </w:style>
  <w:style w:type="character" w:styleId="950" w:customStyle="1">
    <w:name w:val="Оглавление 7 Знак"/>
    <w:link w:val="1014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951" w:customStyle="1">
    <w:name w:val="Подзаголовок Знак1"/>
    <w:link w:val="986"/>
    <w:qFormat/>
    <w:pPr>
      <w:pBdr/>
      <w:spacing/>
      <w:ind/>
    </w:pPr>
    <w:rPr>
      <w:rFonts w:ascii="XO Thames" w:hAnsi="XO Thames"/>
      <w:i/>
      <w:color w:val="000000"/>
      <w:sz w:val="24"/>
    </w:rPr>
  </w:style>
  <w:style w:type="character" w:styleId="952" w:customStyle="1">
    <w:name w:val="Оглавление 9 Знак"/>
    <w:link w:val="1015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953" w:customStyle="1">
    <w:name w:val="Заголовок Знак"/>
    <w:link w:val="960"/>
    <w:qFormat/>
    <w:pPr>
      <w:pBdr/>
      <w:spacing/>
      <w:ind/>
    </w:pPr>
    <w:rPr>
      <w:rFonts w:ascii="XO Thames" w:hAnsi="XO Thames"/>
      <w:b/>
      <w:caps/>
      <w:color w:val="000000"/>
      <w:sz w:val="40"/>
    </w:rPr>
  </w:style>
  <w:style w:type="character" w:styleId="954" w:customStyle="1">
    <w:name w:val="Заголовок 4 Знак1"/>
    <w:link w:val="878"/>
    <w:qFormat/>
    <w:pPr>
      <w:pBdr/>
      <w:spacing/>
      <w:ind/>
    </w:pPr>
    <w:rPr>
      <w:rFonts w:ascii="XO Thames" w:hAnsi="XO Thames"/>
      <w:b/>
      <w:color w:val="000000"/>
      <w:spacing w:val="0"/>
      <w:sz w:val="24"/>
    </w:rPr>
  </w:style>
  <w:style w:type="character" w:styleId="955" w:customStyle="1">
    <w:name w:val="Оглавление 8 Знак"/>
    <w:link w:val="1016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956" w:customStyle="1">
    <w:name w:val="Заголовок 2 Знак1"/>
    <w:link w:val="876"/>
    <w:qFormat/>
    <w:pPr>
      <w:pBdr/>
      <w:spacing/>
      <w:ind/>
    </w:pPr>
    <w:rPr>
      <w:rFonts w:ascii="XO Thames" w:hAnsi="XO Thames"/>
      <w:b/>
      <w:color w:val="000000"/>
      <w:spacing w:val="0"/>
      <w:sz w:val="28"/>
    </w:rPr>
  </w:style>
  <w:style w:type="character" w:styleId="957" w:customStyle="1">
    <w:name w:val="Название Знак"/>
    <w:link w:val="1017"/>
    <w:qFormat/>
    <w:pPr>
      <w:pBdr/>
      <w:spacing/>
      <w:ind/>
    </w:pPr>
    <w:rPr>
      <w:rFonts w:ascii="XO Thames" w:hAnsi="XO Thames"/>
      <w:b/>
      <w:caps/>
      <w:color w:val="000000"/>
      <w:spacing w:val="0"/>
      <w:sz w:val="40"/>
    </w:rPr>
  </w:style>
  <w:style w:type="character" w:styleId="958" w:customStyle="1">
    <w:name w:val="Верхний колонтитул Знак1"/>
    <w:link w:val="977"/>
    <w:qFormat/>
    <w:pPr>
      <w:pBdr/>
      <w:spacing/>
      <w:ind/>
    </w:pPr>
  </w:style>
  <w:style w:type="character" w:styleId="959" w:customStyle="1">
    <w:name w:val="Заголовок 5 Знак"/>
    <w:link w:val="1018"/>
    <w:qFormat/>
    <w:pPr>
      <w:pBdr/>
      <w:spacing/>
      <w:ind/>
    </w:pPr>
    <w:rPr>
      <w:rFonts w:ascii="XO Thames" w:hAnsi="XO Thames"/>
      <w:b/>
      <w:color w:val="000000"/>
      <w:spacing w:val="0"/>
      <w:sz w:val="22"/>
    </w:rPr>
  </w:style>
  <w:style w:type="paragraph" w:styleId="960">
    <w:name w:val="Title"/>
    <w:next w:val="961"/>
    <w:link w:val="953"/>
    <w:uiPriority w:val="10"/>
    <w:qFormat/>
    <w:pPr>
      <w:pBdr/>
      <w:spacing/>
      <w:ind/>
    </w:pPr>
    <w:rPr>
      <w:rFonts w:ascii="XO Thames" w:hAnsi="XO Thames"/>
      <w:b/>
      <w:caps/>
      <w:sz w:val="40"/>
    </w:rPr>
  </w:style>
  <w:style w:type="paragraph" w:styleId="961">
    <w:name w:val="Body Text"/>
    <w:basedOn w:val="874"/>
    <w:pPr>
      <w:pBdr/>
      <w:spacing w:after="140" w:line="276" w:lineRule="auto"/>
      <w:ind/>
    </w:pPr>
  </w:style>
  <w:style w:type="paragraph" w:styleId="962">
    <w:name w:val="List"/>
    <w:basedOn w:val="961"/>
    <w:link w:val="949"/>
    <w:pPr>
      <w:pBdr/>
      <w:spacing/>
      <w:ind/>
    </w:pPr>
  </w:style>
  <w:style w:type="paragraph" w:styleId="963">
    <w:name w:val="Caption"/>
    <w:link w:val="915"/>
    <w:qFormat/>
    <w:pPr>
      <w:pBdr/>
      <w:spacing/>
      <w:ind/>
    </w:pPr>
    <w:rPr>
      <w:i/>
      <w:sz w:val="24"/>
    </w:rPr>
  </w:style>
  <w:style w:type="paragraph" w:styleId="964">
    <w:name w:val="index heading"/>
    <w:basedOn w:val="874"/>
    <w:link w:val="933"/>
    <w:qFormat/>
    <w:pPr>
      <w:pBdr/>
      <w:spacing/>
      <w:ind/>
    </w:pPr>
  </w:style>
  <w:style w:type="paragraph" w:styleId="965">
    <w:name w:val="toc 2"/>
    <w:next w:val="874"/>
    <w:uiPriority w:val="39"/>
    <w:pPr>
      <w:pBdr/>
      <w:spacing w:after="160" w:line="264" w:lineRule="auto"/>
      <w:ind w:left="200"/>
    </w:pPr>
    <w:rPr>
      <w:rFonts w:ascii="XO Thames" w:hAnsi="XO Thames"/>
      <w:sz w:val="28"/>
    </w:rPr>
  </w:style>
  <w:style w:type="paragraph" w:styleId="966">
    <w:name w:val="toc 4"/>
    <w:next w:val="874"/>
    <w:uiPriority w:val="39"/>
    <w:pPr>
      <w:pBdr/>
      <w:spacing w:after="160" w:line="264" w:lineRule="auto"/>
      <w:ind w:left="600"/>
    </w:pPr>
    <w:rPr>
      <w:rFonts w:ascii="XO Thames" w:hAnsi="XO Thames"/>
      <w:sz w:val="28"/>
    </w:rPr>
  </w:style>
  <w:style w:type="paragraph" w:styleId="967" w:customStyle="1">
    <w:name w:val="Оглавление 4 Знак"/>
    <w:link w:val="886"/>
    <w:qFormat/>
    <w:pPr>
      <w:pBdr/>
      <w:spacing/>
      <w:ind/>
    </w:pPr>
    <w:rPr>
      <w:rFonts w:ascii="XO Thames" w:hAnsi="XO Thames"/>
      <w:sz w:val="28"/>
    </w:rPr>
  </w:style>
  <w:style w:type="paragraph" w:styleId="968">
    <w:name w:val="toc 6"/>
    <w:next w:val="874"/>
    <w:uiPriority w:val="39"/>
    <w:pPr>
      <w:pBdr/>
      <w:spacing w:after="160" w:line="264" w:lineRule="auto"/>
      <w:ind w:left="1000"/>
    </w:pPr>
    <w:rPr>
      <w:rFonts w:ascii="XO Thames" w:hAnsi="XO Thames"/>
      <w:sz w:val="28"/>
    </w:rPr>
  </w:style>
  <w:style w:type="paragraph" w:styleId="969">
    <w:name w:val="toc 7"/>
    <w:next w:val="874"/>
    <w:uiPriority w:val="39"/>
    <w:pPr>
      <w:pBdr/>
      <w:spacing w:after="160" w:line="264" w:lineRule="auto"/>
      <w:ind w:left="1200"/>
    </w:pPr>
    <w:rPr>
      <w:rFonts w:ascii="XO Thames" w:hAnsi="XO Thames"/>
      <w:sz w:val="28"/>
    </w:rPr>
  </w:style>
  <w:style w:type="paragraph" w:styleId="970" w:customStyle="1">
    <w:name w:val="Contents 6"/>
    <w:link w:val="890"/>
    <w:qFormat/>
    <w:pPr>
      <w:pBdr/>
      <w:spacing/>
      <w:ind/>
    </w:pPr>
    <w:rPr>
      <w:rFonts w:ascii="XO Thames" w:hAnsi="XO Thames"/>
      <w:sz w:val="28"/>
    </w:rPr>
  </w:style>
  <w:style w:type="paragraph" w:styleId="971" w:customStyle="1">
    <w:name w:val="Основной шрифт абзаца1"/>
    <w:link w:val="948"/>
    <w:qFormat/>
    <w:pPr>
      <w:pBdr/>
      <w:spacing w:after="160" w:line="264" w:lineRule="auto"/>
      <w:ind/>
    </w:pPr>
  </w:style>
  <w:style w:type="paragraph" w:styleId="972" w:customStyle="1">
    <w:name w:val="Contents 5"/>
    <w:link w:val="944"/>
    <w:qFormat/>
    <w:pPr>
      <w:pBdr/>
      <w:spacing/>
      <w:ind/>
    </w:pPr>
    <w:rPr>
      <w:rFonts w:ascii="XO Thames" w:hAnsi="XO Thames"/>
      <w:sz w:val="28"/>
    </w:rPr>
  </w:style>
  <w:style w:type="paragraph" w:styleId="973" w:customStyle="1">
    <w:name w:val="Заголовок 1 Знак"/>
    <w:link w:val="893"/>
    <w:qFormat/>
    <w:pPr>
      <w:pBdr/>
      <w:spacing/>
      <w:ind/>
    </w:pPr>
    <w:rPr>
      <w:rFonts w:ascii="XO Thames" w:hAnsi="XO Thames"/>
      <w:b/>
      <w:sz w:val="32"/>
    </w:rPr>
  </w:style>
  <w:style w:type="paragraph" w:styleId="974" w:customStyle="1">
    <w:name w:val="Оглавление 2 Знак"/>
    <w:qFormat/>
    <w:pPr>
      <w:pBdr/>
      <w:spacing/>
      <w:ind/>
    </w:pPr>
    <w:rPr>
      <w:rFonts w:ascii="XO Thames" w:hAnsi="XO Thames"/>
      <w:sz w:val="28"/>
    </w:rPr>
  </w:style>
  <w:style w:type="paragraph" w:styleId="975" w:customStyle="1">
    <w:name w:val="Оглавление 3 Знак"/>
    <w:link w:val="896"/>
    <w:qFormat/>
    <w:pPr>
      <w:pBdr/>
      <w:spacing/>
      <w:ind/>
    </w:pPr>
    <w:rPr>
      <w:rFonts w:ascii="XO Thames" w:hAnsi="XO Thames"/>
      <w:sz w:val="28"/>
    </w:rPr>
  </w:style>
  <w:style w:type="paragraph" w:styleId="976" w:customStyle="1">
    <w:name w:val="Колонтитул"/>
    <w:link w:val="922"/>
    <w:qFormat/>
    <w:pPr>
      <w:pBdr/>
      <w:spacing/>
      <w:ind/>
    </w:pPr>
    <w:rPr>
      <w:rFonts w:ascii="XO Thames" w:hAnsi="XO Thames"/>
      <w:sz w:val="20"/>
    </w:rPr>
  </w:style>
  <w:style w:type="paragraph" w:styleId="977">
    <w:name w:val="Header"/>
    <w:link w:val="958"/>
    <w:pPr>
      <w:pBdr/>
      <w:spacing/>
      <w:ind/>
    </w:pPr>
  </w:style>
  <w:style w:type="paragraph" w:styleId="978" w:customStyle="1">
    <w:name w:val="Contents 7"/>
    <w:link w:val="900"/>
    <w:qFormat/>
    <w:pPr>
      <w:pBdr/>
      <w:spacing/>
      <w:ind/>
    </w:pPr>
    <w:rPr>
      <w:rFonts w:ascii="XO Thames" w:hAnsi="XO Thames"/>
      <w:sz w:val="28"/>
    </w:rPr>
  </w:style>
  <w:style w:type="paragraph" w:styleId="979" w:customStyle="1">
    <w:name w:val="Contents 1"/>
    <w:link w:val="930"/>
    <w:qFormat/>
    <w:pPr>
      <w:pBdr/>
      <w:spacing/>
      <w:ind/>
    </w:pPr>
    <w:rPr>
      <w:rFonts w:ascii="XO Thames" w:hAnsi="XO Thames"/>
      <w:b/>
      <w:sz w:val="28"/>
    </w:rPr>
  </w:style>
  <w:style w:type="paragraph" w:styleId="980" w:customStyle="1">
    <w:name w:val="Оглавление 1 Знак"/>
    <w:link w:val="902"/>
    <w:qFormat/>
    <w:pPr>
      <w:pBdr/>
      <w:spacing/>
      <w:ind/>
    </w:pPr>
    <w:rPr>
      <w:rFonts w:ascii="XO Thames" w:hAnsi="XO Thames"/>
      <w:b/>
      <w:sz w:val="28"/>
    </w:rPr>
  </w:style>
  <w:style w:type="paragraph" w:styleId="981">
    <w:name w:val="List Paragraph"/>
    <w:basedOn w:val="874"/>
    <w:link w:val="903"/>
    <w:qFormat/>
    <w:pPr>
      <w:pBdr/>
      <w:spacing/>
      <w:ind w:left="720"/>
      <w:contextualSpacing w:val="true"/>
    </w:pPr>
  </w:style>
  <w:style w:type="paragraph" w:styleId="982" w:customStyle="1">
    <w:name w:val="Содержимое таблицы"/>
    <w:basedOn w:val="874"/>
    <w:link w:val="905"/>
    <w:qFormat/>
    <w:pPr>
      <w:widowControl w:val="false"/>
      <w:pBdr/>
      <w:spacing/>
      <w:ind/>
    </w:pPr>
  </w:style>
  <w:style w:type="paragraph" w:styleId="983" w:customStyle="1">
    <w:name w:val="Гиперссылка1"/>
    <w:basedOn w:val="971"/>
    <w:link w:val="906"/>
    <w:qFormat/>
    <w:pPr>
      <w:pBdr/>
      <w:spacing/>
      <w:ind/>
    </w:pPr>
    <w:rPr>
      <w:color w:val="0563c1" w:themeColor="hyperlink"/>
      <w:u w:val="single"/>
    </w:rPr>
  </w:style>
  <w:style w:type="paragraph" w:styleId="984">
    <w:name w:val="Footer"/>
    <w:link w:val="919"/>
    <w:pPr>
      <w:pBdr/>
      <w:spacing/>
      <w:ind/>
    </w:pPr>
    <w:rPr>
      <w:rFonts w:ascii="Times New Roman" w:hAnsi="Times New Roman"/>
      <w:sz w:val="28"/>
    </w:rPr>
  </w:style>
  <w:style w:type="paragraph" w:styleId="985" w:customStyle="1">
    <w:name w:val="ConsPlusTitle"/>
    <w:link w:val="908"/>
    <w:qFormat/>
    <w:pPr>
      <w:widowControl w:val="false"/>
      <w:pBdr/>
      <w:spacing w:line="264" w:lineRule="auto"/>
      <w:ind/>
    </w:pPr>
    <w:rPr>
      <w:rFonts w:ascii="Arial" w:hAnsi="Arial"/>
      <w:b/>
      <w:sz w:val="20"/>
    </w:rPr>
  </w:style>
  <w:style w:type="paragraph" w:styleId="986">
    <w:name w:val="Subtitle"/>
    <w:link w:val="951"/>
    <w:uiPriority w:val="11"/>
    <w:qFormat/>
    <w:pPr>
      <w:pBdr/>
      <w:spacing/>
      <w:ind/>
    </w:pPr>
    <w:rPr>
      <w:rFonts w:ascii="XO Thames" w:hAnsi="XO Thames"/>
      <w:i/>
      <w:sz w:val="24"/>
    </w:rPr>
  </w:style>
  <w:style w:type="paragraph" w:styleId="987">
    <w:name w:val="toc 3"/>
    <w:next w:val="874"/>
    <w:uiPriority w:val="39"/>
    <w:pPr>
      <w:pBdr/>
      <w:spacing w:after="160" w:line="264" w:lineRule="auto"/>
      <w:ind w:left="400"/>
    </w:pPr>
    <w:rPr>
      <w:rFonts w:ascii="XO Thames" w:hAnsi="XO Thames"/>
      <w:sz w:val="28"/>
    </w:rPr>
  </w:style>
  <w:style w:type="paragraph" w:styleId="988" w:customStyle="1">
    <w:name w:val="Contents 2"/>
    <w:link w:val="912"/>
    <w:qFormat/>
    <w:pPr>
      <w:pBdr/>
      <w:spacing/>
      <w:ind/>
    </w:pPr>
    <w:rPr>
      <w:rFonts w:ascii="XO Thames" w:hAnsi="XO Thames"/>
      <w:sz w:val="28"/>
    </w:rPr>
  </w:style>
  <w:style w:type="paragraph" w:styleId="989" w:customStyle="1">
    <w:name w:val="Заголовок 4 Знак"/>
    <w:link w:val="913"/>
    <w:qFormat/>
    <w:pPr>
      <w:pBdr/>
      <w:spacing/>
      <w:ind/>
    </w:pPr>
    <w:rPr>
      <w:rFonts w:ascii="XO Thames" w:hAnsi="XO Thames"/>
      <w:b/>
      <w:sz w:val="24"/>
    </w:rPr>
  </w:style>
  <w:style w:type="paragraph" w:styleId="990" w:customStyle="1">
    <w:name w:val="Заголовок 2 Знак"/>
    <w:link w:val="916"/>
    <w:qFormat/>
    <w:pPr>
      <w:pBdr/>
      <w:spacing/>
      <w:ind/>
    </w:pPr>
    <w:rPr>
      <w:rFonts w:ascii="XO Thames" w:hAnsi="XO Thames"/>
      <w:b/>
      <w:sz w:val="28"/>
    </w:rPr>
  </w:style>
  <w:style w:type="paragraph" w:styleId="991" w:customStyle="1">
    <w:name w:val="Содержимое врезки"/>
    <w:basedOn w:val="874"/>
    <w:link w:val="918"/>
    <w:qFormat/>
    <w:pPr>
      <w:pBdr/>
      <w:spacing/>
      <w:ind/>
    </w:pPr>
  </w:style>
  <w:style w:type="paragraph" w:styleId="992" w:customStyle="1">
    <w:name w:val="Contents 8"/>
    <w:link w:val="938"/>
    <w:qFormat/>
    <w:pPr>
      <w:pBdr/>
      <w:spacing/>
      <w:ind/>
    </w:pPr>
    <w:rPr>
      <w:rFonts w:ascii="XO Thames" w:hAnsi="XO Thames"/>
      <w:sz w:val="28"/>
    </w:rPr>
  </w:style>
  <w:style w:type="paragraph" w:styleId="993">
    <w:name w:val="Balloon Text"/>
    <w:basedOn w:val="874"/>
    <w:link w:val="925"/>
    <w:qFormat/>
    <w:pPr>
      <w:pBdr/>
      <w:spacing/>
      <w:ind/>
    </w:pPr>
    <w:rPr>
      <w:rFonts w:ascii="Segoe UI" w:hAnsi="Segoe UI"/>
      <w:sz w:val="18"/>
    </w:rPr>
  </w:style>
  <w:style w:type="paragraph" w:styleId="994" w:customStyle="1">
    <w:name w:val="Internet link"/>
    <w:basedOn w:val="971"/>
    <w:link w:val="926"/>
    <w:qFormat/>
    <w:pPr>
      <w:pBdr/>
      <w:spacing/>
      <w:ind/>
    </w:pPr>
    <w:rPr>
      <w:color w:val="0563c1" w:themeColor="hyperlink"/>
      <w:u w:val="single"/>
    </w:rPr>
  </w:style>
  <w:style w:type="paragraph" w:styleId="995" w:customStyle="1">
    <w:name w:val="Верхний колонтитул Знак"/>
    <w:basedOn w:val="1004"/>
    <w:link w:val="927"/>
    <w:qFormat/>
    <w:pPr>
      <w:pBdr/>
      <w:spacing/>
      <w:ind/>
    </w:pPr>
  </w:style>
  <w:style w:type="paragraph" w:styleId="996" w:customStyle="1">
    <w:name w:val="Гиперссылка2"/>
    <w:basedOn w:val="971"/>
    <w:qFormat/>
    <w:pPr>
      <w:pBdr/>
      <w:spacing/>
      <w:ind/>
    </w:pPr>
    <w:rPr>
      <w:color w:val="0563c1" w:themeColor="hyperlink"/>
      <w:u w:val="single"/>
    </w:rPr>
  </w:style>
  <w:style w:type="paragraph" w:styleId="997" w:customStyle="1">
    <w:name w:val="Footnote"/>
    <w:link w:val="929"/>
    <w:qFormat/>
    <w:pPr>
      <w:pBdr/>
      <w:spacing w:after="160" w:line="264" w:lineRule="auto"/>
      <w:ind w:firstLine="851"/>
      <w:jc w:val="both"/>
    </w:pPr>
    <w:rPr>
      <w:rFonts w:ascii="XO Thames" w:hAnsi="XO Thames"/>
    </w:rPr>
  </w:style>
  <w:style w:type="paragraph" w:styleId="998">
    <w:name w:val="toc 1"/>
    <w:next w:val="874"/>
    <w:uiPriority w:val="39"/>
    <w:pPr>
      <w:pBdr/>
      <w:spacing w:after="160" w:line="264" w:lineRule="auto"/>
      <w:ind/>
    </w:pPr>
    <w:rPr>
      <w:rFonts w:ascii="XO Thames" w:hAnsi="XO Thames"/>
      <w:b/>
      <w:sz w:val="28"/>
    </w:rPr>
  </w:style>
  <w:style w:type="paragraph" w:styleId="999" w:customStyle="1">
    <w:name w:val="Оглавление 6 Знак"/>
    <w:link w:val="932"/>
    <w:qFormat/>
    <w:pPr>
      <w:pBdr/>
      <w:spacing/>
      <w:ind/>
    </w:pPr>
    <w:rPr>
      <w:rFonts w:ascii="XO Thames" w:hAnsi="XO Thames"/>
      <w:sz w:val="28"/>
    </w:rPr>
  </w:style>
  <w:style w:type="paragraph" w:styleId="1000">
    <w:name w:val="toc 9"/>
    <w:next w:val="874"/>
    <w:uiPriority w:val="39"/>
    <w:pPr>
      <w:pBdr/>
      <w:spacing w:after="160" w:line="264" w:lineRule="auto"/>
      <w:ind w:left="1600"/>
    </w:pPr>
    <w:rPr>
      <w:rFonts w:ascii="XO Thames" w:hAnsi="XO Thames"/>
      <w:sz w:val="28"/>
    </w:rPr>
  </w:style>
  <w:style w:type="paragraph" w:styleId="1001" w:customStyle="1">
    <w:name w:val="ConsPlusNormal"/>
    <w:link w:val="935"/>
    <w:qFormat/>
    <w:pPr>
      <w:widowControl w:val="false"/>
      <w:pBdr/>
      <w:spacing w:line="264" w:lineRule="auto"/>
      <w:ind w:firstLine="720"/>
    </w:pPr>
    <w:rPr>
      <w:rFonts w:ascii="Arial" w:hAnsi="Arial"/>
      <w:sz w:val="20"/>
    </w:rPr>
  </w:style>
  <w:style w:type="paragraph" w:styleId="1002" w:customStyle="1">
    <w:name w:val="Contents 3"/>
    <w:link w:val="936"/>
    <w:qFormat/>
    <w:pPr>
      <w:pBdr/>
      <w:spacing/>
      <w:ind/>
    </w:pPr>
    <w:rPr>
      <w:rFonts w:ascii="XO Thames" w:hAnsi="XO Thames"/>
      <w:sz w:val="28"/>
    </w:rPr>
  </w:style>
  <w:style w:type="paragraph" w:styleId="1003" w:customStyle="1">
    <w:name w:val="Contents 9"/>
    <w:link w:val="937"/>
    <w:qFormat/>
    <w:pPr>
      <w:pBdr/>
      <w:spacing/>
      <w:ind/>
    </w:pPr>
    <w:rPr>
      <w:rFonts w:ascii="XO Thames" w:hAnsi="XO Thames"/>
      <w:sz w:val="28"/>
    </w:rPr>
  </w:style>
  <w:style w:type="paragraph" w:styleId="1004" w:customStyle="1">
    <w:name w:val="Обычный1"/>
    <w:link w:val="883"/>
    <w:qFormat/>
    <w:pPr>
      <w:pBdr/>
      <w:spacing/>
      <w:ind/>
    </w:pPr>
  </w:style>
  <w:style w:type="paragraph" w:styleId="1005">
    <w:name w:val="toc 8"/>
    <w:next w:val="874"/>
    <w:uiPriority w:val="39"/>
    <w:pPr>
      <w:pBdr/>
      <w:spacing w:after="160" w:line="264" w:lineRule="auto"/>
      <w:ind w:left="1400"/>
    </w:pPr>
    <w:rPr>
      <w:rFonts w:ascii="XO Thames" w:hAnsi="XO Thames"/>
      <w:sz w:val="28"/>
    </w:rPr>
  </w:style>
  <w:style w:type="paragraph" w:styleId="1006" w:customStyle="1">
    <w:name w:val="Contents 4"/>
    <w:link w:val="939"/>
    <w:qFormat/>
    <w:pPr>
      <w:pBdr/>
      <w:spacing/>
      <w:ind/>
    </w:pPr>
    <w:rPr>
      <w:rFonts w:ascii="XO Thames" w:hAnsi="XO Thames"/>
      <w:sz w:val="28"/>
    </w:rPr>
  </w:style>
  <w:style w:type="paragraph" w:styleId="1007" w:customStyle="1">
    <w:name w:val="Оглавление 5 Знак"/>
    <w:link w:val="940"/>
    <w:qFormat/>
    <w:pPr>
      <w:pBdr/>
      <w:spacing/>
      <w:ind/>
    </w:pPr>
    <w:rPr>
      <w:rFonts w:ascii="XO Thames" w:hAnsi="XO Thames"/>
      <w:sz w:val="28"/>
    </w:rPr>
  </w:style>
  <w:style w:type="paragraph" w:styleId="1008" w:customStyle="1">
    <w:name w:val="Text body"/>
    <w:link w:val="941"/>
    <w:qFormat/>
    <w:pPr>
      <w:pBdr/>
      <w:spacing/>
      <w:ind/>
    </w:pPr>
  </w:style>
  <w:style w:type="paragraph" w:styleId="1009" w:customStyle="1">
    <w:name w:val="Заголовок 3 Знак"/>
    <w:link w:val="943"/>
    <w:qFormat/>
    <w:pPr>
      <w:pBdr/>
      <w:spacing/>
      <w:ind/>
    </w:pPr>
    <w:rPr>
      <w:rFonts w:ascii="XO Thames" w:hAnsi="XO Thames"/>
      <w:b/>
      <w:sz w:val="26"/>
    </w:rPr>
  </w:style>
  <w:style w:type="paragraph" w:styleId="1010">
    <w:name w:val="toc 5"/>
    <w:next w:val="874"/>
    <w:uiPriority w:val="39"/>
    <w:pPr>
      <w:pBdr/>
      <w:spacing w:after="160" w:line="264" w:lineRule="auto"/>
      <w:ind w:left="800"/>
    </w:pPr>
    <w:rPr>
      <w:rFonts w:ascii="XO Thames" w:hAnsi="XO Thames"/>
      <w:sz w:val="28"/>
    </w:rPr>
  </w:style>
  <w:style w:type="paragraph" w:styleId="1011" w:customStyle="1">
    <w:name w:val="Подзаголовок Знак"/>
    <w:link w:val="945"/>
    <w:qFormat/>
    <w:pPr>
      <w:pBdr/>
      <w:spacing/>
      <w:ind/>
    </w:pPr>
    <w:rPr>
      <w:rFonts w:ascii="XO Thames" w:hAnsi="XO Thames"/>
      <w:i/>
      <w:sz w:val="24"/>
    </w:rPr>
  </w:style>
  <w:style w:type="paragraph" w:styleId="1012" w:customStyle="1">
    <w:name w:val="Нижний колонтитул Знак"/>
    <w:basedOn w:val="1004"/>
    <w:link w:val="946"/>
    <w:qFormat/>
    <w:pPr>
      <w:pBdr/>
      <w:spacing/>
      <w:ind/>
    </w:pPr>
    <w:rPr>
      <w:rFonts w:ascii="Times New Roman" w:hAnsi="Times New Roman"/>
      <w:sz w:val="28"/>
    </w:rPr>
  </w:style>
  <w:style w:type="paragraph" w:styleId="1013">
    <w:name w:val="Plain Text"/>
    <w:basedOn w:val="874"/>
    <w:link w:val="947"/>
    <w:qFormat/>
    <w:pPr>
      <w:pBdr/>
      <w:spacing/>
      <w:ind/>
    </w:pPr>
    <w:rPr>
      <w:rFonts w:ascii="Calibri" w:hAnsi="Calibri"/>
    </w:rPr>
  </w:style>
  <w:style w:type="paragraph" w:styleId="1014" w:customStyle="1">
    <w:name w:val="Оглавление 7 Знак"/>
    <w:link w:val="950"/>
    <w:qFormat/>
    <w:pPr>
      <w:pBdr/>
      <w:spacing/>
      <w:ind/>
    </w:pPr>
    <w:rPr>
      <w:rFonts w:ascii="XO Thames" w:hAnsi="XO Thames"/>
      <w:sz w:val="28"/>
    </w:rPr>
  </w:style>
  <w:style w:type="paragraph" w:styleId="1015" w:customStyle="1">
    <w:name w:val="Оглавление 9 Знак"/>
    <w:link w:val="952"/>
    <w:qFormat/>
    <w:pPr>
      <w:pBdr/>
      <w:spacing/>
      <w:ind/>
    </w:pPr>
    <w:rPr>
      <w:rFonts w:ascii="XO Thames" w:hAnsi="XO Thames"/>
      <w:sz w:val="28"/>
    </w:rPr>
  </w:style>
  <w:style w:type="paragraph" w:styleId="1016" w:customStyle="1">
    <w:name w:val="Оглавление 8 Знак"/>
    <w:link w:val="955"/>
    <w:qFormat/>
    <w:pPr>
      <w:pBdr/>
      <w:spacing/>
      <w:ind/>
    </w:pPr>
    <w:rPr>
      <w:rFonts w:ascii="XO Thames" w:hAnsi="XO Thames"/>
      <w:sz w:val="28"/>
    </w:rPr>
  </w:style>
  <w:style w:type="paragraph" w:styleId="1017" w:customStyle="1">
    <w:name w:val="Название Знак"/>
    <w:link w:val="957"/>
    <w:qFormat/>
    <w:pPr>
      <w:pBdr/>
      <w:spacing/>
      <w:ind/>
    </w:pPr>
    <w:rPr>
      <w:rFonts w:ascii="XO Thames" w:hAnsi="XO Thames"/>
      <w:b/>
      <w:caps/>
      <w:sz w:val="40"/>
    </w:rPr>
  </w:style>
  <w:style w:type="paragraph" w:styleId="1018" w:customStyle="1">
    <w:name w:val="Заголовок 5 Знак"/>
    <w:link w:val="959"/>
    <w:qFormat/>
    <w:pPr>
      <w:pBdr/>
      <w:spacing/>
      <w:ind/>
    </w:pPr>
    <w:rPr>
      <w:rFonts w:ascii="XO Thames" w:hAnsi="XO Thames"/>
      <w:b/>
    </w:rPr>
  </w:style>
  <w:style w:type="paragraph" w:styleId="1019" w:customStyle="1">
    <w:name w:val="Заголовок таблицы"/>
    <w:basedOn w:val="982"/>
    <w:qFormat/>
    <w:pPr>
      <w:suppressLineNumbers w:val="true"/>
      <w:pBdr/>
      <w:spacing/>
      <w:ind/>
      <w:jc w:val="center"/>
    </w:pPr>
    <w:rPr>
      <w:b/>
      <w:bCs/>
    </w:rPr>
  </w:style>
  <w:style w:type="table" w:styleId="1020" w:customStyle="1">
    <w:name w:val="Сетка таблицы1"/>
    <w:basedOn w:val="881"/>
    <w:pPr>
      <w:pBdr/>
      <w:spacing/>
      <w:ind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1" w:customStyle="1">
    <w:name w:val="Сетка таблицы2"/>
    <w:basedOn w:val="881"/>
    <w:link w:val="894"/>
    <w:pPr>
      <w:pBdr/>
      <w:spacing/>
      <w:ind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2">
    <w:name w:val="Table Grid"/>
    <w:basedOn w:val="881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Шклярова Наталья Борисовна</dc:creator>
  <dc:description/>
  <dc:language>ru-RU</dc:language>
  <cp:revision>11</cp:revision>
  <dcterms:created xsi:type="dcterms:W3CDTF">2023-11-16T21:24:00Z</dcterms:created>
  <dcterms:modified xsi:type="dcterms:W3CDTF">2024-02-28T22:29:32Z</dcterms:modified>
</cp:coreProperties>
</file>