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699" cy="80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8pt;mso-position-vertical:absolute;width:51.0pt;height:63.6pt;" wrapcoords="0 0 0 96699 97060 96699 97060 0 0 0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КАМЧАТСКОГО КРАЯ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ind w:right="34"/>
              <w:jc w:val="center"/>
              <w:spacing w:lineRule="auto" w:line="276" w:after="0"/>
              <w:rPr>
                <w:rFonts w:ascii="Times New Roman" w:hAnsi="Times New Roman" w:cs="Times New Roman"/>
              </w:rPr>
            </w:pPr>
            <w:r/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right"/>
              <w:spacing w:lineRule="auto" w:line="27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/>
              </w:rPr>
            </w:pPr>
            <w:r/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</w:tr>
    </w:tbl>
    <w:p>
      <w:pPr>
        <w:ind w:right="5526"/>
        <w:jc w:val="center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579"/>
        <w:ind w:firstLine="709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57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О внесении изменений в приказ Мин</w:t>
      </w:r>
      <w:r>
        <w:rPr>
          <w:b/>
          <w:bCs/>
          <w:color w:val="000000"/>
          <w:sz w:val="28"/>
          <w:szCs w:val="28"/>
        </w:rPr>
        <w:t xml:space="preserve">истерства здравоохранения</w:t>
      </w:r>
      <w:r>
        <w:rPr>
          <w:b/>
          <w:bCs/>
          <w:color w:val="000000"/>
          <w:sz w:val="28"/>
          <w:szCs w:val="28"/>
        </w:rPr>
        <w:t xml:space="preserve"> Камчатского края от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11.11.2019 № 606 «Об утверж</w:t>
      </w:r>
      <w:r>
        <w:rPr>
          <w:b/>
          <w:bCs/>
          <w:color w:val="000000"/>
          <w:sz w:val="28"/>
          <w:szCs w:val="28"/>
        </w:rPr>
        <w:t xml:space="preserve">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</w:t>
      </w:r>
      <w:r>
        <w:rPr>
          <w:b/>
          <w:bCs/>
          <w:color w:val="000000"/>
          <w:sz w:val="28"/>
          <w:szCs w:val="28"/>
        </w:rPr>
        <w:t xml:space="preserve">медицинской реабилитации»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ПРИКАЗЫВАЮ: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Внести в приказ Минздрава Камчатского края от 11.11.2019 № 606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bookmarkStart w:id="2" w:name="_GoBack"/>
      <w:r/>
      <w:bookmarkEnd w:id="2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утверждении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Положения о порядке оплаты расходов, свя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 следующие изменения: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в приложение № 1: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а) в наименовании слово «постоянно» исключить;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б) в части 1.1 слово «постоянно» исключить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 1.2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пункт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лово «постоянно» исключить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2 исключить;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6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«6) порядок направления граждан, утвержденный приказами Министерства здравоох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ранения Камчатского края от 17.01.2022 № 21-22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оказание специализированной, в том числе, высокотехнологичной медицинской помощи», от 16.07.2018 № 372 «Об организации работы по направлению граждан в медицинские организации, расположенные за пределами Камчатского края» (далее - установленный порядок);»;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 2.1 после слов «осуществляется гражданам» дополнить словами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 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направляемым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лечение (консультацию, обследование)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установленном порядке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д) часть 2.2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«2.2.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Заявление об оплате стоимости медицинских услуг подается гражданином, сопровождающим лицом в Министерство любым доступным способом не позднее 60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календарных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дней после дня возвращения гражданина на территорию Камчатского края из медицинской организации, с приложением следующих документов: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копии паспорта с отметкой о постоянном жительстве в Камчатском крае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исключением случаев, предусмотренных пунктом 4 настоящей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копии свидетельства о рождении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 несовершеннолетнего гражданина, не достигшего возраста 14 лет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копии;</w:t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справки (сведений, свидетельства) о постоянном жительстве в Камчатском крае для несовершеннолетнего гражданина, не достигшего возраста 14 лет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исключением случаев, предусмотренных пунктом 4 настоящей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копии справки (сведений, свидетельства) о регистрации по месту пребывания в Камчатском крае для детей-сирот и детей, оставшихся без попечения родителей, в случае отсутствия документа о постоянном жительстве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паспорта гражданина Российской Федерации и копии документа, подтверждающего полномочия лица, представлять интересы несовершеннолетнего гражданина, не достигшего возраста 18 лет (свидетельство о рождении или доверенность) – для сопровождающего лица;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копии решения суда, с отметкой о вступлении в законную силу, об установлении факта постоянного проживания гражданина в Камчатском крае в случае отсутствия документа, подтверждающего постоянное проживание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7) копии медицинских документов, подтверждающих факт нахождения гражданина на лечении в медицинской организации;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8) копии договора об оказании платных медицинских услуг либо медицинские документы, подтверждающие факт назначения гражданину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медицинских исследований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(манипуляций);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9) акта оказанных медицинских услуг либо иного документа, подтверждающего оказание медицинских услуг в случае, если выдача таких документов предусмотрено договором об оказании платных медицинских услуг;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10) платежного документа, подтверждающего оплату оказанных медицинских услуг или медицинских исследований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(манипуляций)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12) реквизиты счета, открытого в кредитной организации на имя гражданина, сопровождающего лица.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части 3.3: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«4) в маршрутном транспортном средстве междугородного сообщения;»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дополнить пунктом 5 следующего содержания: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«5) автомобильным транспортом за исключением такси для граждан, подлежащих транспортировке,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аэропорта до медицинской организации, в которую он направляется и обратно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 положении лежа, при наличии справки (заключения врачебной комиссии) медицинской организации или медицинской организации Камчатского края о необходимости транспортировки гражданина в положении лежа.»;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ж) част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3.4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3.6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«3.4.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Право на особые услов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ия транспортировки к месту лечения в медицинские организации и обратно имеют граждане на основании справки (заключения врачебной комиссии) медицинской организации или медицинской организации Камчатского края о нуждаемости в особых условиях транспортировки.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 особыми условиями транспортировки понимается такое положение гражданина, которое позволяет ему занимать более одного места в салоне экономического класса транспортного средства или одно место в салоне повышенной комфортности.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гражданину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проезда к месту лечения и обратно 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абзацами первым и вторым настоящей части, сопровождающее лицо, в том числе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медицинский работник имеет право на получение проезда на тех же условиях, что и гражданин, но не более одного места в салоне такого же класса обслуживания.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случае необходимости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ровоза медицинским работником медицинского оборудования, подтвержденной справкой (заключением врачебной комиссии) медицинской организации, медицинскому работнику предоставляется дополнительное место в салоне такого же класса обслуживания, как и гражданину.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Оплата расходов по проезду, при наличии права на особые условия транспортировки, осуществляется в размере фактических расходов, подтвержденных документами.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Решение о предоставлении проезда к месту лечения и обратно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гражданам, сопровождающим лицам и медицинским работникам в виде предоставления заявки-требования на получение проездных документов (билетов), обеспечивающих проезд к месту лечения и обратно, принимается Министерством при предъявлении следующих документов: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письменного заявления гражданина, сопровождающего лица за исключением медицинского работника, направленного любым доступным способом;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shd w:val="clear" w:color="auto" w:fill="FFFFFF" w:themeFill="background1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копии паспорта с отметкой о постоянном жительстве в Камчатском крае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исключением случаев, предусмотренных </w:t>
      </w:r>
      <w:r>
        <w:rPr>
          <w:rFonts w:ascii="Times New Roman" w:hAnsi="Times New Roman" w:eastAsia="Times New Roman"/>
          <w:sz w:val="28"/>
          <w:szCs w:val="28"/>
          <w:shd w:val="clear" w:color="auto" w:fill="FFFFFF" w:themeFill="background1"/>
          <w:lang w:eastAsia="ru-RU"/>
        </w:rPr>
        <w:t xml:space="preserve">пунктом 6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астоящей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shd w:val="clear" w:color="auto" w:fill="FFFFFF" w:themeFill="background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копии свидетельства о рождении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несовершеннолетнего гражданина, не достигшего возраста 14 лет</w:t>
      </w:r>
      <w:r>
        <w:t xml:space="preserve"> ;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shd w:val="clear" w:color="auto" w:fill="FFFFFF" w:themeFill="background1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 копии справки (сведений, свидетельства) о постоянном жительстве в Камчатском крае для несовершеннолетнего гражданина, не достигшего возраста 14 лет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исключением случаев, предусмотренны</w:t>
      </w:r>
      <w:r>
        <w:rPr>
          <w:rFonts w:ascii="Times New Roman" w:hAnsi="Times New Roman" w:eastAsia="Times New Roman"/>
          <w:sz w:val="28"/>
          <w:szCs w:val="28"/>
          <w:shd w:val="clear" w:color="auto" w:fill="FFFFFF" w:themeFill="background1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shd w:val="clear" w:color="auto" w:fill="FFFFFF" w:themeFill="background1"/>
          <w:lang w:eastAsia="ru-RU"/>
        </w:rPr>
        <w:t xml:space="preserve"> пунктом 6 нас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тоящей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shd w:val="clear" w:color="auto" w:fill="FFFFFF" w:themeFill="background1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копии справки (сведений, свидетельства) о регистрации по месту пребывания в Камчатском крае для детей-сирот и детей, оставшихся без попечения родителей, в случае отсутствия документа о постоянном жительстве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паспорта гражданина Российской Федерации и копии документа, подтверждающего полномочия лица, представлять интересы несовершеннолетнего гражданина, не достигшего возраста 18 лет (свидетельство о рождении или доверенность) – для сопровождающего лица;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8) копии паспорта медицинского работника;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9) копии решения суда, с отметкой о вступлении в законную силу, об установлении факта постоянного проживания гражданина в Камчатском крае в случае отсутствия документа, подтверждающего постоянное проживание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11) копии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12) копии медицинских документов о нуждаемости в особых условиях транспортировки.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Заявление о компенсации расходов по проезду направляется в Министерство гражданином, сопровождающим лицом, медицинским работником любым доступным способом не позднее 60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календарных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дней после возвращения на территорию Камчатского края из медицинской организации, с приложением следующих документов: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копии паспорта с отметкой о постоянном жительстве в Камчатском крае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исключением случаев, предусмотренных пунктом 4  настоящей части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копии свидетельства о рождении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несовершеннолетнего гражданина, не достигшего возраста 14 лет;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3) копии справки (сведений, свидетельства) о постоянном жительстве в Камчатском крае для несовершеннолетнего гражданина, не достигшего возраста 14 лет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исключением случаев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предусмотренных пунктом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настоящей части;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4) копии справки (сведений, свидетельства) о регистрации по месту пребывания в Камчатском крае для детей-сирот и детей, оставшихся без попечения родителей, в случае отсутствия документа о постоянном жительстве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паспорта гражданина Российской Федерации и копии документа, подтверждающего полномочия лица, представлять интересы несовершеннолетнего гражданина, не достигшего возраста 18 лет (свидетельство о рождении или доверенность) – для сопровождающего лица;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6) копии паспорта медицинского работника;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7) копии решения суда, с отметкой о вступлении в законную силу, об установлении факта постоянного проживания гражданина в Камчатском крае в случае отсутствия документа, подтверждающего постоянное проживание в Камчатском крае;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8) копии медицинских документов, подтверждающих факт нахождения гражданина на лечении в медицинской организации;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медицинских документов о нуждаемости в особых условиях транспортировки;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проездных документов (билетов);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при перевозке гражданина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положении лежа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аэропорта до медицинской организации и обратно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автомобильным транспортом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исключением такси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компенсация расходов по проезду производится на основании: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а)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перевозки от аэропорта до медицинской организации, в которую он направлялся и обратно;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б) платежн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 оплате перевозки;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в) медицинск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 необходимости транспортировки в положении лежа;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при использовании электронных проездных документов, оформленных в установленном порядке, компенсация расходов по проезду производится на основании: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а) маршрут/квитанции электронного пассажирского билета, посадочного талона или электронного посадочного талона со штампом о досмотре - при проезде воздушным транспортом;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б) контрольного купона электронного проездного документа - при проезде железнодорожным транспортом;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в) электронного билета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маршрутное транспортное средство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междугородного сообщения и электронного багажного билета (при наличии) при проезде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маршрутном транспортном средстве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междугородного сообщения;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платежных документов об оплате услуг по оформлению проездных документов;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справки транспортной организации, подтверждающей факт совершения проезда в случае утери гражданином (сопровождающим лицом) подлинника посадочного талона или отсутствия штампа о досмотре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электронном посадочном талоне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справки транспортной организац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ии (иной организации, индивидуального предпринимателя), осуществляющей продажу билетов, подтверждающей факт оплаты гражданином (сопровождающим лицом) проездных документов (билетов), электронных проездных документов с указанием стоимости, в случае их утери;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справки транспортной организации (иной организации, индивидуального предпринимателя), осуществляющей продажу билетов,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стоимости проезда в соответствии с категорией проезда, установленной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настоящего Положения, в случае предоставления гражданином, сопровождающим лицом, медицинским работником проездных документов (билетов), электронных проездных документов по более высокой категории проезда, чем установлено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частью 3.2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настоящего Положения;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реквизиты счета, открытого в кредитной организации на имя гражданина, сопровождающего лица.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случае достижения несовершеннолетним гражданином совершеннолетия в период пребывания в медицинском учреждении расходы по проезду сопровождающему его лицу, подлежат компенсации.»;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з) часть 3.8 исключить;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и) пункт 3 части 3.9 изложить в следующей редакции:</w:t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«3)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посадочные талоны или электронные посадочные талоны со штампом о досмотре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к) част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3.10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после слов «обязаны выехать» дополнить словами «с территории Камчатского края»;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дополнить абзацем следующего содержания: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«Ранний выезд гражданина с территории Камчатского края или задержка возвращения гражданина на территорию Камчатского края от места лечения возможна только по уважительной прич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ине (отсутствие билетов на требуемые даты, задержка (отмена) отправления транспортного средства, временная нетрудоспособность гражданина, запрет на выезд по медицинским показаниям) с предоставлением документов, подтверждающих наличие уважительных причин.»;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л) в пункте 5.1.2 части 5.1 слово «добровольного» заменить словом «обязательного»;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м) часть 5.2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подлежат компенсации расходы граждан (сопровождающих лиц) на получение справок, указанных в частях 3.3 и 3.6 настоя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щего Положения, на оплату сборов, связанных с предварительной продажей и предварительным бронированием билетов, выбором места, обменом и возвратом билета, онлайн-регистрацией, добровольным страхованием пассажиров, оплатой информации об электронном агенте,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агентский сбор, агентские услуги, комиссия агента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сервисный сбор при продаже билетов, выбором специального (дополнительного) питания и подбором оптимального тарифа, оплатой сверхнормативного багажа.»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в приложении №  2: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4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 1.2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«4) порядок направления граждан, утвержденный приказами Министерства здравоохранения Камчатского края от 17.01.2022 № 21-22 «Об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оказание специализированной, в том числе, высокотехнологичной медицинской помощи», от 16.07.2018 № 372 «Об организации работы по направлению граждан в медицинские организации, расположенные за пределами Камчатского края» (далее - установленный порядок);»;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 2.1 после слов «осуществляется гражданам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дополнить словами «направляемым на лечение (консультацию, обследование)»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часть 3.3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дополнить  абзацами следующего содержания: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предоставлении гражданину проезда к месту 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ечения и обратно в соответствии с абзацами первым и вторым настоящей части, сопровождающее лицо, в том числе медицинский работник имеет право на получение проезда на тех же условиях, что и гражданин, но не более 1 места в салоне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такого же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класса обслуживания.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случае необходимости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ровоза медицинским работником медицинского оборудования, подтвержденной справкой (заключением врачебной комиссии) медицинской организации, медицинскому работнику предоставляется дополнительное место в салоне такого же класса обслуживания, как и гражданину.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Оплата расходов по проезду, при наличии права на особые условия транспортировки, осуществляется в размере фактических расходов, подтвержденных документами.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части 3.5: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6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«6) проездных документов (билетов), в том числе, подтвержда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ющих расходы по оплате проезда автомобильным транспортом (за исключением такси) гражданам, находящимся в положении лежа от аэропорта до медицинской организации и обратно, при наличии медицинских документов о нуждаемости в особых условиях транспортировки.</w:t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использовании электронных проездных документов, оформленных в установленном порядке, компенсация расходов по проезду производится на основании:</w:t>
      </w:r>
      <w:r/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а) маршрут/квитанции электронного пассажирского билета, посадочного талона или электронного посадочного талона со штампом о досмотре - при проезде воздушным транспортом;</w:t>
      </w:r>
      <w:r>
        <w:rPr>
          <w:rFonts w:ascii="Times New Roman" w:hAnsi="Times New Roman" w:eastAsia="Times New Roman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б) контрольного купона электронного проездного документа - при проезде железнодорожным транспортом;</w:t>
      </w:r>
      <w:r>
        <w:rPr>
          <w:rFonts w:ascii="Times New Roman" w:hAnsi="Times New Roman" w:eastAsia="Times New Roman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в) электронного билета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маршрутное транспортное средство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междугородного сообщения и электронного багажного билета (при наличии) при проезде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маршрутном транспортном средстве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междугородного сообщения;</w:t>
      </w:r>
      <w:r>
        <w:rPr>
          <w:rFonts w:ascii="Times New Roman" w:hAnsi="Times New Roman" w:eastAsia="Times New Roman"/>
          <w:lang w:eastAsia="ru-RU"/>
        </w:rPr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8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«8) справки транспортной организации, подтверждающей факт совершения проезда, в случае утери гражданином посадочного или отсутствия штампа о досмотре на электронном посадочном талоне;»;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слова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Расходы на получение указанных справок компенсации не подлежат.» исключить;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д) часть 3.6 исключить;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д) дополнить частью 5.2 следующего содержания: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«5.2.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 подлежат компенсации расходы граждан (сопровождающих лиц) на получение справок, указа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нных в части 3.5 настоящего Положения, на оплату сборов, связанных с предварительной продажей и предварительным бронированием билетов, выбором места, обменом и возвратом билета, онлайн-регистрацией, добровольным страхованием пассажиров, оплатой информации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электронном агенте, агентский сбор, агентские услуги, комиссия агента, сервисный сбор при продаже билетов, выбором специального (дополнительного) питания и подбором оптимального тарифа, оплатой сверхнормативного багажа.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Настоящий приказ вступает в силу после дня его официального опубликования и распространяется на правоотношения возникшие с 1 января                       2023 года.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исполнением настоящего приказа оставляю за собой.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614"/>
        <w:gridCol w:w="3264"/>
      </w:tblGrid>
      <w:tr>
        <w:trPr>
          <w:trHeight w:val="894"/>
        </w:trPr>
        <w:tc>
          <w:tcPr>
            <w:shd w:val="clear" w:color="auto" w:fill="FFFFFF"/>
            <w:tcW w:w="33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Камчатского края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r>
            <w:r/>
          </w:p>
        </w:tc>
        <w:tc>
          <w:tcPr>
            <w:shd w:val="clear" w:color="auto" w:fill="FFFFFF"/>
            <w:tcW w:w="3614" w:type="dxa"/>
            <w:textDirection w:val="lrTb"/>
            <w:noWrap w:val="false"/>
          </w:tcPr>
          <w:p>
            <w:pPr>
              <w:ind w:right="-116"/>
              <w:jc w:val="center"/>
              <w:spacing w:lineRule="auto" w:line="240" w:after="0"/>
              <w:rPr>
                <w:rFonts w:ascii="Times New Roman" w:hAnsi="Times New Roman" w:cs="Times New Roman"/>
                <w:color w:val="D9D9D9"/>
              </w:rPr>
            </w:pPr>
            <w:r/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штамп подписи 1]</w:t>
            </w:r>
            <w:bookmarkEnd w:id="3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r>
            <w:r/>
          </w:p>
          <w:p>
            <w:pPr>
              <w:ind w:firstLine="709"/>
              <w:jc w:val="righ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3264" w:type="dxa"/>
            <w:textDirection w:val="lrTb"/>
            <w:noWrap w:val="false"/>
          </w:tcPr>
          <w:p>
            <w:pPr>
              <w:ind w:right="-6"/>
              <w:jc w:val="righ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right="-6"/>
              <w:jc w:val="right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Гашков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p>
      <w:r/>
      <w:r/>
    </w:p>
    <w:sectPr>
      <w:headerReference w:type="default" r:id="rId8"/>
      <w:foot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7223089"/>
      <w:docPartObj>
        <w:docPartGallery w:val="Page Numbers (Top of Page)"/>
        <w:docPartUnique w:val="true"/>
      </w:docPartObj>
      <w:rPr/>
    </w:sdtPr>
    <w:sdtContent>
      <w:p>
        <w:pPr>
          <w:pStyle w:val="57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5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2"/>
    <w:next w:val="562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3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2"/>
    <w:next w:val="562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3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2"/>
    <w:next w:val="562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3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3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3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3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2"/>
    <w:next w:val="562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3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3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2"/>
    <w:next w:val="562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3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2"/>
    <w:next w:val="56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3"/>
    <w:link w:val="412"/>
    <w:uiPriority w:val="10"/>
    <w:rPr>
      <w:sz w:val="48"/>
      <w:szCs w:val="48"/>
    </w:rPr>
  </w:style>
  <w:style w:type="paragraph" w:styleId="414">
    <w:name w:val="Subtitle"/>
    <w:basedOn w:val="562"/>
    <w:next w:val="56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3"/>
    <w:link w:val="414"/>
    <w:uiPriority w:val="11"/>
    <w:rPr>
      <w:sz w:val="24"/>
      <w:szCs w:val="24"/>
    </w:rPr>
  </w:style>
  <w:style w:type="paragraph" w:styleId="416">
    <w:name w:val="Quote"/>
    <w:basedOn w:val="562"/>
    <w:next w:val="56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2"/>
    <w:next w:val="56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character" w:styleId="420">
    <w:name w:val="Header Char"/>
    <w:basedOn w:val="563"/>
    <w:link w:val="576"/>
    <w:uiPriority w:val="99"/>
  </w:style>
  <w:style w:type="character" w:styleId="421">
    <w:name w:val="Footer Char"/>
    <w:basedOn w:val="563"/>
    <w:link w:val="569"/>
    <w:uiPriority w:val="99"/>
  </w:style>
  <w:style w:type="paragraph" w:styleId="422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569"/>
    <w:uiPriority w:val="99"/>
  </w:style>
  <w:style w:type="table" w:styleId="424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3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7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table" w:styleId="566">
    <w:name w:val="Table Grid"/>
    <w:basedOn w:val="56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7">
    <w:name w:val="Plain Text"/>
    <w:basedOn w:val="562"/>
    <w:link w:val="568"/>
    <w:uiPriority w:val="99"/>
    <w:semiHidden/>
    <w:unhideWhenUsed/>
    <w:rPr>
      <w:rFonts w:ascii="Calibri" w:hAnsi="Calibri" w:cs="Times New Roman" w:eastAsia="Calibri"/>
      <w:szCs w:val="21"/>
    </w:rPr>
    <w:pPr>
      <w:spacing w:lineRule="auto" w:line="240" w:after="0"/>
    </w:pPr>
  </w:style>
  <w:style w:type="character" w:styleId="568" w:customStyle="1">
    <w:name w:val="Текст Знак"/>
    <w:basedOn w:val="563"/>
    <w:link w:val="567"/>
    <w:uiPriority w:val="99"/>
    <w:semiHidden/>
    <w:rPr>
      <w:rFonts w:ascii="Calibri" w:hAnsi="Calibri" w:cs="Times New Roman" w:eastAsia="Calibri"/>
      <w:szCs w:val="21"/>
    </w:rPr>
  </w:style>
  <w:style w:type="paragraph" w:styleId="569">
    <w:name w:val="Footer"/>
    <w:basedOn w:val="562"/>
    <w:link w:val="570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0" w:customStyle="1">
    <w:name w:val="Нижний колонтитул Знак"/>
    <w:basedOn w:val="563"/>
    <w:link w:val="569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571">
    <w:name w:val="Balloon Text"/>
    <w:basedOn w:val="562"/>
    <w:link w:val="57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2" w:customStyle="1">
    <w:name w:val="Текст выноски Знак"/>
    <w:basedOn w:val="563"/>
    <w:link w:val="571"/>
    <w:uiPriority w:val="99"/>
    <w:semiHidden/>
    <w:rPr>
      <w:rFonts w:ascii="Segoe UI" w:hAnsi="Segoe UI" w:cs="Segoe UI"/>
      <w:sz w:val="18"/>
      <w:szCs w:val="18"/>
    </w:rPr>
  </w:style>
  <w:style w:type="paragraph" w:styleId="573">
    <w:name w:val="List Paragraph"/>
    <w:basedOn w:val="562"/>
    <w:qFormat/>
    <w:uiPriority w:val="34"/>
    <w:pPr>
      <w:contextualSpacing w:val="true"/>
      <w:ind w:left="720"/>
    </w:pPr>
  </w:style>
  <w:style w:type="character" w:styleId="574">
    <w:name w:val="Hyperlink"/>
    <w:basedOn w:val="563"/>
    <w:uiPriority w:val="99"/>
    <w:unhideWhenUsed/>
    <w:rPr>
      <w:color w:val="0563C1" w:themeColor="hyperlink"/>
      <w:u w:val="single"/>
    </w:rPr>
  </w:style>
  <w:style w:type="paragraph" w:styleId="575" w:customStyle="1">
    <w:name w:val="ConsPlusNormal"/>
    <w:rPr>
      <w:rFonts w:ascii="Calibri" w:hAnsi="Calibri" w:cs="Calibri"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576">
    <w:name w:val="Header"/>
    <w:basedOn w:val="562"/>
    <w:link w:val="57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7" w:customStyle="1">
    <w:name w:val="Верхний колонтитул Знак"/>
    <w:basedOn w:val="563"/>
    <w:link w:val="576"/>
    <w:uiPriority w:val="99"/>
  </w:style>
  <w:style w:type="paragraph" w:styleId="578">
    <w:name w:val="No Spacing"/>
    <w:qFormat/>
    <w:uiPriority w:val="1"/>
    <w:rPr>
      <w:rFonts w:ascii="Courier New" w:hAnsi="Courier New" w:cs="Courier New" w:eastAsia="Courier New"/>
      <w:color w:val="000000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579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8</cp:revision>
  <dcterms:created xsi:type="dcterms:W3CDTF">2022-09-26T23:30:00Z</dcterms:created>
  <dcterms:modified xsi:type="dcterms:W3CDTF">2023-08-15T04:47:13Z</dcterms:modified>
</cp:coreProperties>
</file>