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август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140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1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7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</w:t>
            </w:r>
            <w:r>
              <w:rPr>
                <w:sz w:val="24"/>
              </w:rPr>
              <w:t>муниципальных районов по вопросу проведения выборов в сентябре 2023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Борисевич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408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выезда выездной бр</w:t>
            </w:r>
            <w:r>
              <w:rPr>
                <w:sz w:val="24"/>
              </w:rPr>
              <w:t xml:space="preserve">игады в Пенжинский </w:t>
            </w:r>
            <w:r>
              <w:rPr>
                <w:sz w:val="24"/>
              </w:rPr>
              <w:t>район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pStyle w:val="Style_7"/>
              <w:ind w:firstLine="0" w:left="0"/>
              <w:jc w:val="center"/>
            </w:pPr>
            <w:r>
              <w:t>август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информации, технический свод по оптимизации отделов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октября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</w:rPr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t>плану)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Борисевич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</w:p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C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9000000">
            <w:pPr>
              <w:ind/>
              <w:jc w:val="center"/>
              <w:rPr>
                <w:sz w:val="24"/>
              </w:rPr>
            </w:pPr>
          </w:p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C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C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C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D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4000000">
            <w:pPr>
              <w:ind/>
              <w:jc w:val="center"/>
              <w:rPr>
                <w:sz w:val="24"/>
              </w:rPr>
            </w:pPr>
          </w:p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F000000">
            <w:pPr>
              <w:ind/>
              <w:jc w:val="center"/>
              <w:rPr>
                <w:sz w:val="24"/>
              </w:rPr>
            </w:pP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B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2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</w:p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8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  <w:r>
              <w:rPr>
                <w:sz w:val="24"/>
              </w:rPr>
              <w:t>,</w:t>
            </w:r>
          </w:p>
          <w:p w14:paraId="16010000">
            <w:pPr>
              <w:ind/>
              <w:jc w:val="center"/>
              <w:rPr>
                <w:sz w:val="24"/>
              </w:rPr>
            </w:pPr>
          </w:p>
          <w:p w14:paraId="1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24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2E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F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0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3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4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5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е</w:t>
            </w:r>
            <w:r>
              <w:rPr>
                <w:sz w:val="24"/>
              </w:rPr>
              <w:t>жеквартального обучения глав муниципальных образований в Камчатс</w:t>
            </w:r>
            <w:r>
              <w:rPr>
                <w:sz w:val="24"/>
              </w:rPr>
              <w:t>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</w:tr>
    </w:tbl>
    <w:p w14:paraId="38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8"/>
    <w:link w:val="Style_13_ch"/>
    <w:rPr>
      <w:rFonts w:ascii="Tahoma" w:hAnsi="Tahoma"/>
      <w:sz w:val="16"/>
    </w:rPr>
  </w:style>
  <w:style w:styleId="Style_13_ch" w:type="character">
    <w:name w:val="Balloon Text"/>
    <w:basedOn w:val="Style_8_ch"/>
    <w:link w:val="Style_13"/>
    <w:rPr>
      <w:rFonts w:ascii="Tahoma" w:hAnsi="Tahoma"/>
      <w:sz w:val="16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18" w:type="paragraph">
    <w:name w:val="Знак"/>
    <w:basedOn w:val="Style_8"/>
    <w:link w:val="Style_18_ch"/>
    <w:pPr>
      <w:widowControl w:val="1"/>
      <w:spacing w:afterAutospacing="on" w:beforeAutospacing="on"/>
      <w:ind/>
    </w:pPr>
    <w:rPr>
      <w:rFonts w:ascii="Tahoma" w:hAnsi="Tahoma"/>
    </w:rPr>
  </w:style>
  <w:style w:styleId="Style_18_ch" w:type="character">
    <w:name w:val="Знак"/>
    <w:basedOn w:val="Style_8_ch"/>
    <w:link w:val="Style_18"/>
    <w:rPr>
      <w:rFonts w:ascii="Tahoma" w:hAnsi="Tahoma"/>
    </w:rPr>
  </w:style>
  <w:style w:styleId="Style_19" w:type="paragraph">
    <w:name w:val="Знак1"/>
    <w:basedOn w:val="Style_8"/>
    <w:link w:val="Style_19_ch"/>
    <w:pPr>
      <w:widowControl w:val="1"/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8_ch"/>
    <w:link w:val="Style_19"/>
    <w:rPr>
      <w:rFonts w:ascii="Tahoma" w:hAnsi="Tahoma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annotation text"/>
    <w:basedOn w:val="Style_8"/>
    <w:link w:val="Style_21_ch"/>
  </w:style>
  <w:style w:styleId="Style_21_ch" w:type="character">
    <w:name w:val="annotation text"/>
    <w:basedOn w:val="Style_8_ch"/>
    <w:link w:val="Style_21"/>
  </w:style>
  <w:style w:styleId="Style_22" w:type="paragraph">
    <w:name w:val="ConsPlusTitle"/>
    <w:link w:val="Style_22_ch"/>
    <w:pPr>
      <w:widowControl w:val="0"/>
      <w:ind/>
    </w:pPr>
    <w:rPr>
      <w:b w:val="1"/>
      <w:sz w:val="24"/>
    </w:rPr>
  </w:style>
  <w:style w:styleId="Style_22_ch" w:type="character">
    <w:name w:val="ConsPlusTitle"/>
    <w:link w:val="Style_22"/>
    <w:rPr>
      <w:b w:val="1"/>
      <w:sz w:val="24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footer"/>
    <w:basedOn w:val="Style_8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8_ch"/>
    <w:link w:val="Style_24"/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5_ch" w:type="character">
    <w:name w:val="heading 1"/>
    <w:basedOn w:val="Style_8_ch"/>
    <w:link w:val="Style_25"/>
    <w:rPr>
      <w:rFonts w:asciiTheme="majorAscii" w:hAnsiTheme="majorHAnsi"/>
      <w:b w:val="1"/>
      <w:color w:themeColor="accent1" w:themeShade="BF" w:val="376092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8" w:type="paragraph">
    <w:name w:val="toc 1"/>
    <w:next w:val="Style_8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32" w:type="paragraph">
    <w:name w:val="ConsPlusNormal"/>
    <w:link w:val="Style_32_ch"/>
    <w:rPr>
      <w:sz w:val="24"/>
    </w:rPr>
  </w:style>
  <w:style w:styleId="Style_32_ch" w:type="character">
    <w:name w:val="ConsPlusNormal"/>
    <w:link w:val="Style_32"/>
    <w:rPr>
      <w:sz w:val="24"/>
    </w:rPr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annotation subject"/>
    <w:basedOn w:val="Style_21"/>
    <w:next w:val="Style_21"/>
    <w:link w:val="Style_34_ch"/>
    <w:rPr>
      <w:b w:val="1"/>
    </w:rPr>
  </w:style>
  <w:style w:styleId="Style_34_ch" w:type="character">
    <w:name w:val="annotation subject"/>
    <w:basedOn w:val="Style_21_ch"/>
    <w:link w:val="Style_34"/>
    <w:rPr>
      <w:b w:val="1"/>
    </w:rPr>
  </w:style>
  <w:style w:styleId="Style_35" w:type="paragraph">
    <w:name w:val="Subtitle"/>
    <w:next w:val="Style_8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annotation reference"/>
    <w:basedOn w:val="Style_17"/>
    <w:link w:val="Style_36_ch"/>
    <w:rPr>
      <w:sz w:val="16"/>
    </w:rPr>
  </w:style>
  <w:style w:styleId="Style_36_ch" w:type="character">
    <w:name w:val="annotation reference"/>
    <w:basedOn w:val="Style_17_ch"/>
    <w:link w:val="Style_36"/>
    <w:rPr>
      <w:sz w:val="16"/>
    </w:rPr>
  </w:style>
  <w:style w:styleId="Style_37" w:type="paragraph">
    <w:name w:val="Title"/>
    <w:next w:val="Style_8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8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2023-10-12T00:05:57Z</dcterms:modified>
</cp:coreProperties>
</file>