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СТРОИТЕЛЬСТВА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ЖИЛИЩНОЙ ПОЛИТИКИ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</w:t>
            </w:r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highlight w:val="none"/>
              </w:rPr>
              <w:t xml:space="preserve"> доку</w:t>
            </w:r>
            <w:r>
              <w:rPr>
                <w:rFonts w:ascii="Times New Roman" w:hAnsi="Times New Roman"/>
                <w:color w:val="FFFFFF"/>
                <w:sz w:val="20"/>
              </w:rPr>
              <w:t>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noWrap w:val="0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5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noWrap w:val="0"/>
          </w:tcPr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и жилищной политики Камчатского края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  <w:lang w:eastAsia="ru-RU"/>
        </w:rPr>
        <w:t>В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  <w:lang w:val="en-US" w:eastAsia="ru-RU"/>
        </w:rPr>
        <w:t xml:space="preserve"> соответствии со статьей 19 Федерального закона от 27.07.2004 № 79-ФЗ «О государственной гражданской службе Российской Федерации», руководствуясь частью 2.2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  <w:lang w:val="ru-RU" w:eastAsia="ru-RU"/>
        </w:rPr>
        <w:t>утвержденного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  <w:lang w:val="en-US" w:eastAsia="ru-RU"/>
        </w:rPr>
        <w:t xml:space="preserve"> Законом Камчатского края от 03.12.2010 № 526 №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 w:ascii="Times New Roman" w:hAnsi="Times New Roman" w:eastAsia="Times New Roman"/>
          <w:sz w:val="28"/>
          <w:szCs w:val="24"/>
        </w:rPr>
        <w:t xml:space="preserve">Образовать комиссию по соблюдению требований к служебному поведению государственных гражданских служащих Камчатского края и 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t xml:space="preserve">урегулированию конфликта интересов в Министерстве строительства и жилищной политики Камчатского края (далее 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>–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>к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t xml:space="preserve">омиссия) в 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instrText xml:space="preserve">HYPERLINK https://login.consultant.ru/link/?req=doc&amp;base=RLAW296&amp;n=180286&amp;dst=100013 </w:instrTex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t>составе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>согласно приложению 1 к настоящему приказу.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pacing w:after="0" w:line="240" w:lineRule="auto"/>
        <w:ind w:left="0" w:firstLine="65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>Определить, что комиссия осуществляет свою деятельность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pacing w:after="0" w:line="240" w:lineRule="auto"/>
        <w:ind w:left="0" w:firstLine="65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>Признать утратившим силу приказы Министерства строительства Камчатского края, приказы Министерства строительства и жилищной политики Камчатского края согласно приложению 2 к настоящему приказу.</w:t>
      </w:r>
    </w:p>
    <w:p>
      <w:pPr>
        <w:keepNext w:val="0"/>
        <w:keepLines w:val="0"/>
        <w:pageBreakBefore w:val="0"/>
        <w:widowControl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Настоящий приказ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>
        <w:rPr>
          <w:rStyle w:val="191"/>
          <w:rFonts w:ascii="Times New Roman" w:hAnsi="Times New Roman"/>
        </w:rPr>
        <w:t>после дня его официального опубликования.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Врио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Министра                                                        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.В. Фирстов</w:t>
      </w:r>
    </w:p>
    <w:p>
      <w:r>
        <w:rPr/>
        <w:br w:type="page" w:clear="all"/>
      </w:r>
    </w:p>
    <w:p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hint="default" w:ascii="Times New Roman" w:hAnsi="Times New Roman"/>
          <w:sz w:val="28"/>
          <w:lang w:val="ru-RU"/>
        </w:rPr>
        <w:t xml:space="preserve">1 </w:t>
      </w:r>
      <w:r>
        <w:rPr>
          <w:rFonts w:ascii="Times New Roman" w:hAnsi="Times New Roman"/>
          <w:sz w:val="28"/>
        </w:rPr>
        <w:t>к приказу Министерства</w:t>
      </w:r>
      <w:r>
        <w:rPr>
          <w:rFonts w:hint="default" w:ascii="Times New Roman" w:hAnsi="Times New Roman"/>
          <w:sz w:val="28"/>
          <w:lang w:val="ru-RU"/>
        </w:rPr>
        <w:t xml:space="preserve"> строительства и жилищной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35"/>
        <w:tblW w:w="0" w:type="auto"/>
        <w:tblInd w:w="5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869"/>
        <w:gridCol w:w="48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dxa"/>
            <w:noWrap w:val="0"/>
          </w:tcPr>
          <w:p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noWrap w:val="0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]</w:t>
            </w:r>
          </w:p>
        </w:tc>
        <w:tc>
          <w:tcPr>
            <w:tcW w:w="486" w:type="dxa"/>
            <w:noWrap w:val="0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noWrap w:val="0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</w:tbl>
    <w:p/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Состав 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</w:rPr>
        <w:t>комисси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и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6"/>
        <w:gridCol w:w="346"/>
        <w:gridCol w:w="5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6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 xml:space="preserve">Воронова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Елена Николаевна</w:t>
            </w:r>
          </w:p>
        </w:tc>
        <w:tc>
          <w:tcPr>
            <w:tcW w:w="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85" w:type="dxa"/>
            <w:noWrap w:val="0"/>
            <w:vAlign w:val="top"/>
          </w:tcPr>
          <w:p>
            <w:pPr>
              <w:spacing w:after="0" w:line="240" w:lineRule="auto"/>
              <w:ind w:left="34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заместитель Министра – начальник отдела организационно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val="en-US"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правового обеспечения Министерства строительства и жилищной политики Камчатского края, председатель комиссии;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6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 xml:space="preserve">Никитина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Елена Борисовна</w:t>
            </w:r>
          </w:p>
        </w:tc>
        <w:tc>
          <w:tcPr>
            <w:tcW w:w="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85" w:type="dxa"/>
            <w:noWrap w:val="0"/>
            <w:vAlign w:val="top"/>
          </w:tcPr>
          <w:p>
            <w:pPr>
              <w:spacing w:after="0" w:line="240" w:lineRule="auto"/>
              <w:ind w:left="34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заместитель начальника отдела жилищного строительства Министерства строительства и жилищной политики Камчатского края, заместитель председателя комиссии;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6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Штернер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Елена Васильевна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5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заместитель начальника организационно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val="en-US"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правового обеспечения Министерства строительства и жилищной политики Камчатского края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val="en-US" w:eastAsia="ru-RU"/>
              </w:rPr>
              <w:t>, секретарь комиссии;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val="en-US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6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Каспрова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Мария Александровна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–</w:t>
            </w:r>
          </w:p>
        </w:tc>
        <w:tc>
          <w:tcPr>
            <w:tcW w:w="5785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заместитель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val="en-US" w:eastAsia="ru-RU"/>
              </w:rPr>
              <w:t xml:space="preserve"> начальника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 xml:space="preserve"> отдела по профилактике коррупционных и иных правонарушений Администрации Губернатора Камчатского края;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 w:hanging="14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Пасечник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 w:hanging="14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Александр Федорович</w:t>
            </w:r>
          </w:p>
        </w:tc>
        <w:tc>
          <w:tcPr>
            <w:tcW w:w="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–</w:t>
            </w:r>
          </w:p>
        </w:tc>
        <w:tc>
          <w:tcPr>
            <w:tcW w:w="5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доцент кафедры экономических и социально-гуманитарных наук 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 w:hanging="14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Серапионова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120" w:hanging="140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Анастасия Игоревна</w:t>
            </w:r>
          </w:p>
        </w:tc>
        <w:tc>
          <w:tcPr>
            <w:tcW w:w="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>–</w:t>
            </w:r>
          </w:p>
        </w:tc>
        <w:tc>
          <w:tcPr>
            <w:tcW w:w="5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консультант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отдела организационно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val="en-US"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white"/>
                <w:lang w:eastAsia="ru-RU"/>
              </w:rPr>
              <w:t>правового обеспечения</w:t>
            </w:r>
          </w:p>
        </w:tc>
      </w:tr>
    </w:tbl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8222"/>
        </w:tabs>
        <w:spacing w:after="0" w:line="240" w:lineRule="auto"/>
        <w:ind w:left="5060" w:right="-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hint="default" w:ascii="Times New Roman" w:hAnsi="Times New Roman"/>
          <w:sz w:val="28"/>
          <w:lang w:val="ru-RU"/>
        </w:rPr>
        <w:t>2 к приказу Министерства строительства и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Камчатского края</w:t>
      </w:r>
    </w:p>
    <w:tbl>
      <w:tblPr>
        <w:tblStyle w:val="35"/>
        <w:tblW w:w="0" w:type="auto"/>
        <w:tblInd w:w="5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869"/>
        <w:gridCol w:w="48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dxa"/>
            <w:noWrap w:val="0"/>
          </w:tcPr>
          <w:p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noWrap w:val="0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]</w:t>
            </w:r>
          </w:p>
        </w:tc>
        <w:tc>
          <w:tcPr>
            <w:tcW w:w="486" w:type="dxa"/>
            <w:noWrap w:val="0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noWrap w:val="0"/>
          </w:tcPr>
          <w:p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</w:tbl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-17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Перечень утративших силу приказов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приказы Министерства строительства Камчатского края, приказы</w:t>
      </w:r>
      <w:bookmarkStart w:id="1" w:name="_GoBack"/>
      <w:bookmarkEnd w:id="1"/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 Министерства строительства и жилищной политики Камчатского края</w:t>
      </w:r>
    </w:p>
    <w:p>
      <w:pPr>
        <w:widowControl w:val="0"/>
        <w:spacing w:after="0" w:line="240" w:lineRule="auto"/>
        <w:ind w:right="-17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21.03.2011               № 26 «О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»;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06.06.2011             № 42 «О внесении в приказ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25.08.2011             № 63 «О внесении в приказ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19.12.2011             № 85 «О внесении в приказ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</w:t>
      </w:r>
      <w:r>
        <w:rPr>
          <w:rFonts w:hint="default" w:ascii="Times New Roman" w:hAnsi="Times New Roman" w:eastAsia="Times New Roman"/>
          <w:sz w:val="28"/>
          <w:szCs w:val="24"/>
          <w:highlight w:val="none"/>
        </w:rPr>
        <w:t>стерстве строительства и жилищной политики Камчатского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02.10.2013             № 61 «О внесении изменений в приложение 1 к приказу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07.05.2014             № 41 «О внесении изменений в приложение 1 к приказу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10.06.2014             № 59 «О внесении изменений в приложение 2 к приказу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12.01.2015             № 1 «О внесении изменений в приложение 2 к приказу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11.11.2015             № 102 «О внесении изменений в приложение 1 к приказу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26.05.2016             № 52 «О внесении изменений в приказ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22.06.2016             № 66 «О внесении изменений в приложение 1 приказа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18.04.2017             № 47 «О внесении изменений в приложение 1 к приказу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18.01.2018             № 4 «О внесении изменений в приказ Министерства строительства Камчатского края от 21.03.2011 № 26 «Об образовании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Камчатского края от 17.04.2018             № 33 «О внесении изменений в приложение 1 приказ Министерства строительства Камчатского края от 21.03.2011 № 26 «О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>приказ Министерства строительства Камчатского края от 23.10.20</w:t>
      </w:r>
      <w:r>
        <w:rPr>
          <w:rFonts w:hint="default" w:ascii="Times New Roman" w:hAnsi="Times New Roman" w:eastAsia="Times New Roman"/>
          <w:sz w:val="28"/>
          <w:szCs w:val="24"/>
          <w:lang w:val="en-US"/>
        </w:rPr>
        <w:t xml:space="preserve">19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             № 113 «О внесении изменений в приложение 1 к приказу Министерства строительства Камчатского края от 21.03.2011 № 26 «О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и жилищной политики Камчатского края от 16.03.2021 № 32.32/13 «О внесении изменений в приказ Министерства строительства Камчатского края от 21.03.2011 № 26                                                                              «О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pacing w:after="0" w:line="240" w:lineRule="auto"/>
        <w:ind w:left="0" w:firstLine="658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приказ Министерства строительства и жилищной политики Камчатского края от 15.09.2023 № 11-Н «О внесении изменений в приказ Министерства строительства Камчатского края от 21.03.2011 № 26                                                               «О комиссии по соблюдению требований к служебному поведению государственных </w:t>
      </w:r>
      <w:r>
        <w:rPr>
          <w:rFonts w:hint="default" w:ascii="Times New Roman" w:hAnsi="Times New Roman" w:eastAsia="Times New Roman"/>
          <w:sz w:val="28"/>
          <w:szCs w:val="24"/>
        </w:rPr>
        <w:t>гражданских служащих Камчатского края и урегулированию конфликта интересов в Министерстве строительства и жилищной политики Камчатского края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».</w:t>
      </w:r>
    </w:p>
    <w:p>
      <w:pPr>
        <w:widowControl w:val="0"/>
        <w:spacing w:after="0" w:line="240" w:lineRule="auto"/>
        <w:ind w:right="-17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headerReference r:id="rId6" w:type="first"/>
      <w:headerReference r:id="rId5" w:type="default"/>
      <w:pgSz w:w="11906" w:h="16838"/>
      <w:pgMar w:top="694" w:right="850" w:bottom="1134" w:left="1417" w:header="709" w:footer="709" w:gutter="0"/>
      <w:cols w:space="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NewRomanPSMT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4585755"/>
      <w:docPartObj>
        <w:docPartGallery w:val="autotext"/>
      </w:docPartObj>
    </w:sdtPr>
    <w:sdtContent>
      <w:p>
        <w:pPr>
          <w:pStyle w:val="2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0"/>
      <w:jc w:val="center"/>
    </w:pPr>
  </w:p>
  <w:p>
    <w:pPr>
      <w:pStyle w:val="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suff w:val="space"/>
      <w:lvlText w:val="%1)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Balloon Text"/>
    <w:basedOn w:val="1"/>
    <w:link w:val="18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Plain Text"/>
    <w:basedOn w:val="1"/>
    <w:link w:val="184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18">
    <w:name w:val="endnote text"/>
    <w:basedOn w:val="1"/>
    <w:link w:val="182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footnote text"/>
    <w:basedOn w:val="1"/>
    <w:link w:val="181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1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2">
    <w:name w:val="header"/>
    <w:basedOn w:val="1"/>
    <w:link w:val="18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3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4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5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6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7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8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29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3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31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2">
    <w:name w:val="Title"/>
    <w:basedOn w:val="1"/>
    <w:next w:val="1"/>
    <w:link w:val="47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3">
    <w:name w:val="footer"/>
    <w:basedOn w:val="1"/>
    <w:link w:val="185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34">
    <w:name w:val="Subtitle"/>
    <w:basedOn w:val="1"/>
    <w:next w:val="1"/>
    <w:link w:val="48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qFormat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styleId="46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SimSun" w:cs="Times New Roman"/>
    </w:rPr>
  </w:style>
  <w:style w:type="character" w:customStyle="1" w:styleId="47">
    <w:name w:val="Title Char"/>
    <w:basedOn w:val="11"/>
    <w:link w:val="32"/>
    <w:qFormat/>
    <w:uiPriority w:val="10"/>
    <w:rPr>
      <w:sz w:val="48"/>
      <w:szCs w:val="48"/>
    </w:rPr>
  </w:style>
  <w:style w:type="character" w:customStyle="1" w:styleId="48">
    <w:name w:val="Subtitle Char"/>
    <w:basedOn w:val="11"/>
    <w:link w:val="34"/>
    <w:qFormat/>
    <w:uiPriority w:val="11"/>
    <w:rPr>
      <w:sz w:val="24"/>
      <w:szCs w:val="24"/>
    </w:rPr>
  </w:style>
  <w:style w:type="paragraph" w:styleId="49">
    <w:name w:val="Quote"/>
    <w:basedOn w:val="1"/>
    <w:next w:val="1"/>
    <w:link w:val="50"/>
    <w:qFormat/>
    <w:uiPriority w:val="29"/>
    <w:pPr>
      <w:ind w:left="720" w:right="720"/>
    </w:pPr>
    <w:rPr>
      <w:i/>
    </w:rPr>
  </w:style>
  <w:style w:type="character" w:customStyle="1" w:styleId="50">
    <w:name w:val="Quote Char"/>
    <w:link w:val="49"/>
    <w:qFormat/>
    <w:uiPriority w:val="29"/>
    <w:rPr>
      <w:i/>
    </w:rPr>
  </w:style>
  <w:style w:type="paragraph" w:styleId="51">
    <w:name w:val="Intense Quote"/>
    <w:basedOn w:val="1"/>
    <w:next w:val="1"/>
    <w:link w:val="5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2">
    <w:name w:val="Intense Quote Char"/>
    <w:link w:val="51"/>
    <w:qFormat/>
    <w:uiPriority w:val="30"/>
    <w:rPr>
      <w:i/>
    </w:rPr>
  </w:style>
  <w:style w:type="character" w:customStyle="1" w:styleId="53">
    <w:name w:val="Header Char"/>
    <w:basedOn w:val="11"/>
    <w:qFormat/>
    <w:uiPriority w:val="99"/>
  </w:style>
  <w:style w:type="character" w:customStyle="1" w:styleId="54">
    <w:name w:val="Footer Char"/>
    <w:basedOn w:val="11"/>
    <w:qFormat/>
    <w:uiPriority w:val="99"/>
  </w:style>
  <w:style w:type="character" w:customStyle="1" w:styleId="55">
    <w:name w:val="Caption Char"/>
    <w:qFormat/>
    <w:uiPriority w:val="99"/>
  </w:style>
  <w:style w:type="table" w:customStyle="1" w:styleId="56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9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3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4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5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6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7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8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9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0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1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2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3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4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5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6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8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9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0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1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2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3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5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6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7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8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9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0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1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2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3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4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5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6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7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3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4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7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8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9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10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1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2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3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4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5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6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7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8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0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1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2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3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4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5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6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7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8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9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0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1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2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3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4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5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6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7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8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9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0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1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2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3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4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5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6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7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8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4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5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6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1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2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3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4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5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6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7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8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9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0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1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2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3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4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5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6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7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8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9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0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1">
    <w:name w:val="Footnote Text Char"/>
    <w:link w:val="20"/>
    <w:qFormat/>
    <w:uiPriority w:val="99"/>
    <w:rPr>
      <w:sz w:val="18"/>
    </w:rPr>
  </w:style>
  <w:style w:type="character" w:customStyle="1" w:styleId="182">
    <w:name w:val="Endnote Text Char"/>
    <w:link w:val="18"/>
    <w:qFormat/>
    <w:uiPriority w:val="99"/>
    <w:rPr>
      <w:sz w:val="20"/>
    </w:rPr>
  </w:style>
  <w:style w:type="paragraph" w:customStyle="1" w:styleId="183">
    <w:name w:val="TOC Heading"/>
    <w:unhideWhenUsed/>
    <w:qFormat/>
    <w:uiPriority w:val="39"/>
    <w:rPr>
      <w:rFonts w:hint="default" w:ascii="Times New Roman" w:hAnsi="Times New Roman" w:eastAsia="SimSun" w:cs="Times New Roman"/>
    </w:rPr>
  </w:style>
  <w:style w:type="character" w:customStyle="1" w:styleId="184">
    <w:name w:val="Текст Знак"/>
    <w:basedOn w:val="11"/>
    <w:link w:val="17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85">
    <w:name w:val="Нижний колонтитул Знак"/>
    <w:basedOn w:val="11"/>
    <w:link w:val="33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86">
    <w:name w:val="Текст выноски Знак"/>
    <w:basedOn w:val="11"/>
    <w:link w:val="1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7">
    <w:name w:val="Верхний колонтитул Знак"/>
    <w:basedOn w:val="11"/>
    <w:link w:val="22"/>
    <w:qFormat/>
    <w:uiPriority w:val="99"/>
  </w:style>
  <w:style w:type="table" w:customStyle="1" w:styleId="188">
    <w:name w:val="Сетка таблицы1"/>
    <w:basedOn w:val="12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9">
    <w:name w:val="Сетка таблицы2"/>
    <w:basedOn w:val="12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90">
    <w:name w:val="Верхний колонтитул1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1">
    <w:name w:val="fontstyle01"/>
    <w:basedOn w:val="11"/>
    <w:qFormat/>
    <w:uiPriority w:val="0"/>
    <w:rPr>
      <w:rFonts w:hint="default" w:ascii="TimesNewRomanPSMT" w:hAnsi="TimesNewRomanPSMT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2023-07-23T23:09:00Z</dcterms:created>
  <dc:creator>Киселев Виктор Вадимович</dc:creator>
  <cp:lastModifiedBy>NaumikEV</cp:lastModifiedBy>
  <dcterms:modified xsi:type="dcterms:W3CDTF">2023-12-11T05:59:46Z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6EDB9928E97A4874BC5E4DF26C142F10_13</vt:lpwstr>
  </property>
</Properties>
</file>