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14" y="0"/>
                    <wp:lineTo x="-14" y="20874"/>
                    <wp:lineTo x="20954" y="20874"/>
                    <wp:lineTo x="20954" y="0"/>
                    <wp:lineTo x="-14" y="0"/>
                  </wp:wrapPolygon>
                </wp:wrapTight>
                <wp:docPr id="1" name="Рисунок 1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;o:allowoverlap:true;o:allowincell:false;mso-position-horizontal-relative:margin;mso-position-horizontal:center;mso-position-vertical-relative:text;margin-top:0.0pt;mso-position-vertical:absolute;width:51.0pt;height:63.6pt;" wrapcoords="-64 0 -64 96639 97009 96639 97009 0 -64 0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25"/>
        <w:jc w:val="center"/>
        <w:spacing w:before="0" w:after="0" w:line="360" w:lineRule="auto"/>
        <w:rPr>
          <w:rFonts w:ascii="Times New Roman" w:hAnsi="Times New Roman" w:cs="Times New Roman" w:eastAsia="Times New Roman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</w:r>
      <w:r/>
    </w:p>
    <w:p>
      <w:pPr>
        <w:pStyle w:val="625"/>
        <w:jc w:val="center"/>
        <w:spacing w:before="0"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pStyle w:val="625"/>
        <w:spacing w:before="0"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pStyle w:val="625"/>
        <w:jc w:val="center"/>
        <w:spacing w:before="0"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П О С Т А Н О В Л Е Н И Е</w:t>
      </w:r>
      <w:r/>
    </w:p>
    <w:p>
      <w:pPr>
        <w:pStyle w:val="625"/>
        <w:jc w:val="center"/>
        <w:spacing w:before="0"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25"/>
        <w:jc w:val="center"/>
        <w:spacing w:before="0"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ПРАВИТЕЛЬСТВА</w:t>
      </w:r>
      <w:r/>
    </w:p>
    <w:p>
      <w:pPr>
        <w:pStyle w:val="625"/>
        <w:jc w:val="center"/>
        <w:spacing w:before="0"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КАМЧАТСКОГО КРАЯ</w:t>
      </w:r>
      <w:r/>
    </w:p>
    <w:p>
      <w:pPr>
        <w:pStyle w:val="625"/>
        <w:ind w:left="0" w:right="0" w:firstLine="709"/>
        <w:jc w:val="center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5"/>
        <w:ind w:left="0" w:right="0" w:firstLine="709"/>
        <w:jc w:val="center"/>
        <w:spacing w:before="0" w:after="0" w:line="240" w:lineRule="auto"/>
        <w:rPr>
          <w:rFonts w:ascii="Times New Roman" w:hAnsi="Times New Roman" w:cs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8"/>
          <w:lang w:eastAsia="ru-RU"/>
        </w:rPr>
      </w:r>
      <w:r/>
    </w:p>
    <w:p>
      <w:pPr>
        <w:pStyle w:val="625"/>
        <w:ind w:left="-284" w:right="5526" w:firstLine="0"/>
        <w:jc w:val="center"/>
        <w:spacing w:before="0" w:after="0" w:line="240" w:lineRule="auto"/>
      </w:pPr>
      <w:r/>
      <w:bookmarkStart w:id="0" w:name="REGNUMDATESTAMP"/>
      <w:r>
        <w:rPr>
          <w:rFonts w:ascii="Times New Roman" w:hAnsi="Times New Roman" w:cs="Times New Roman" w:eastAsia="Times New Roman"/>
          <w:color w:val="000000"/>
          <w:sz w:val="24"/>
          <w:szCs w:val="20"/>
          <w:u w:val="single"/>
          <w:lang w:eastAsia="ru-RU"/>
        </w:rPr>
        <w:t xml:space="preserve">[</w:t>
      </w:r>
      <w:r>
        <w:rPr>
          <w:rFonts w:ascii="Times New Roman" w:hAnsi="Times New Roman" w:cs="Times New Roman" w:eastAsia="Times New Roman"/>
          <w:color w:val="000000"/>
          <w:szCs w:val="20"/>
          <w:u w:val="single"/>
          <w:lang w:eastAsia="ru-RU"/>
        </w:rPr>
        <w:t xml:space="preserve">Дата регистрации] № [Номер документа]</w:t>
      </w:r>
      <w:bookmarkEnd w:id="0"/>
      <w:r/>
      <w:r/>
    </w:p>
    <w:p>
      <w:pPr>
        <w:pStyle w:val="625"/>
        <w:ind w:left="0" w:right="5526" w:firstLine="0"/>
        <w:jc w:val="center"/>
        <w:spacing w:before="0" w:after="0" w:line="240" w:lineRule="auto"/>
        <w:rPr>
          <w:rFonts w:ascii="Times New Roman" w:hAnsi="Times New Roman" w:cs="Times New Roman"/>
          <w:bCs/>
          <w:sz w:val="12"/>
          <w:szCs w:val="28"/>
        </w:rPr>
      </w:pPr>
      <w:r>
        <w:rPr>
          <w:rFonts w:ascii="Times New Roman" w:hAnsi="Times New Roman" w:cs="Times New Roman"/>
          <w:bCs/>
          <w:sz w:val="12"/>
          <w:szCs w:val="28"/>
        </w:rPr>
      </w:r>
      <w:r/>
    </w:p>
    <w:p>
      <w:pPr>
        <w:pStyle w:val="625"/>
        <w:ind w:left="0" w:right="5526" w:firstLine="0"/>
        <w:jc w:val="center"/>
        <w:spacing w:before="0"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pStyle w:val="625"/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5205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05"/>
      </w:tblGrid>
      <w:tr>
        <w:trPr/>
        <w:tc>
          <w:tcPr>
            <w:tcW w:w="5205" w:type="dxa"/>
            <w:textDirection w:val="lrTb"/>
            <w:noWrap w:val="false"/>
          </w:tcPr>
          <w:p>
            <w:pPr>
              <w:pStyle w:val="625"/>
              <w:ind w:left="3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ru-RU" w:bidi="ar-SA" w:eastAsia="en-US"/>
              </w:rPr>
              <w:t xml:space="preserve">О внесении изменений в государственную программу Камчатского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 489-П</w:t>
            </w:r>
            <w:r/>
          </w:p>
        </w:tc>
      </w:tr>
    </w:tbl>
    <w:p>
      <w:pPr>
        <w:pStyle w:val="625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25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25"/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ПОСТАНОВЛЯЕТ:</w:t>
      </w:r>
      <w:r/>
    </w:p>
    <w:p>
      <w:pPr>
        <w:pStyle w:val="625"/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25"/>
        <w:ind w:left="0" w:right="0" w:firstLine="709"/>
        <w:jc w:val="both"/>
        <w:spacing w:before="0" w:after="0"/>
        <w:tabs>
          <w:tab w:val="clear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государственную программу Камча</w:t>
      </w:r>
      <w:r>
        <w:rPr>
          <w:rFonts w:ascii="Times New Roman" w:hAnsi="Times New Roman"/>
          <w:sz w:val="28"/>
          <w:szCs w:val="28"/>
        </w:rPr>
        <w:t xml:space="preserve">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 489-П, изменения согласно приложению к настоящему постановлению.</w:t>
      </w:r>
      <w:r/>
    </w:p>
    <w:p>
      <w:pPr>
        <w:pStyle w:val="625"/>
        <w:ind w:left="0" w:right="0" w:firstLine="709"/>
        <w:jc w:val="both"/>
        <w:spacing w:before="0" w:after="0"/>
        <w:tabs>
          <w:tab w:val="clear" w:pos="708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Настоящее постановление вступает в силу после дня его официального опубликования.</w:t>
      </w:r>
      <w:r/>
    </w:p>
    <w:p>
      <w:pPr>
        <w:pStyle w:val="625"/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25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25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639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7"/>
        <w:gridCol w:w="992"/>
        <w:gridCol w:w="3970"/>
      </w:tblGrid>
      <w:tr>
        <w:trPr>
          <w:trHeight w:val="1232"/>
        </w:trPr>
        <w:tc>
          <w:tcPr>
            <w:tcW w:w="4677" w:type="dxa"/>
            <w:textDirection w:val="lrTb"/>
            <w:noWrap w:val="false"/>
          </w:tcPr>
          <w:p>
            <w:pPr>
              <w:pStyle w:val="625"/>
              <w:ind w:left="0" w:right="0" w:hanging="4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Камчатского края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25"/>
              <w:ind w:left="0" w:right="-116" w:firstLine="0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70" w:type="dxa"/>
            <w:textDirection w:val="lrTb"/>
            <w:noWrap w:val="false"/>
          </w:tcPr>
          <w:p>
            <w:pPr>
              <w:pStyle w:val="625"/>
              <w:ind w:left="0" w:right="-6" w:firstLine="0"/>
              <w:jc w:val="righ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25"/>
              <w:ind w:left="0" w:right="-6" w:firstLine="0"/>
              <w:jc w:val="right"/>
              <w:spacing w:before="0" w:after="16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Е.А. Чекин</w:t>
            </w:r>
            <w:r/>
          </w:p>
        </w:tc>
      </w:tr>
    </w:tbl>
    <w:p>
      <w:pPr>
        <w:pStyle w:val="625"/>
        <w:ind w:left="0" w:right="-116" w:firstLine="0"/>
        <w:jc w:val="center"/>
        <w:spacing w:before="0" w:after="0" w:line="240" w:lineRule="auto"/>
        <w:rPr>
          <w:rFonts w:ascii="Times New Roman" w:hAnsi="Times New Roman" w:cs="Times New Roman"/>
          <w:color w:val="D9D9D9"/>
          <w:sz w:val="28"/>
          <w:szCs w:val="28"/>
        </w:rPr>
      </w:pPr>
      <w:r/>
      <w:bookmarkStart w:id="1" w:name="SIGNERSTAMP1"/>
      <w:r>
        <w:rPr>
          <w:rFonts w:ascii="Times New Roman" w:hAnsi="Times New Roman" w:cs="Times New Roman"/>
          <w:color w:val="D9D9D9"/>
          <w:sz w:val="28"/>
          <w:szCs w:val="28"/>
        </w:rPr>
        <w:t xml:space="preserve">[горизонтальный штамп подписи 1]</w:t>
      </w:r>
      <w:bookmarkEnd w:id="1"/>
      <w:r/>
      <w:r/>
    </w:p>
    <w:p>
      <w:pPr>
        <w:pStyle w:val="625"/>
      </w:pPr>
      <w:r/>
      <w:r>
        <w:br w:type="page" w:clear="all"/>
      </w:r>
      <w:r/>
    </w:p>
    <w:p>
      <w:pPr>
        <w:pStyle w:val="625"/>
        <w:ind w:left="0" w:right="848" w:firstLine="0"/>
        <w:jc w:val="right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</w:t>
      </w:r>
      <w:bookmarkStart w:id="2" w:name="_GoBack"/>
      <w:r/>
      <w:bookmarkEnd w:id="2"/>
      <w:r>
        <w:rPr>
          <w:rFonts w:ascii="Times New Roman" w:hAnsi="Times New Roman"/>
          <w:sz w:val="28"/>
        </w:rPr>
        <w:t xml:space="preserve">ние 1 к постановлению</w:t>
      </w:r>
      <w:r/>
    </w:p>
    <w:p>
      <w:pPr>
        <w:pStyle w:val="625"/>
        <w:ind w:left="4820" w:right="565" w:firstLine="0"/>
        <w:jc w:val="center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</w:t>
      </w:r>
      <w:r/>
    </w:p>
    <w:tbl>
      <w:tblPr>
        <w:tblW w:w="4536" w:type="dxa"/>
        <w:tblInd w:w="482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9"/>
        <w:gridCol w:w="1870"/>
        <w:gridCol w:w="486"/>
        <w:gridCol w:w="1701"/>
      </w:tblGrid>
      <w:tr>
        <w:trPr/>
        <w:tc>
          <w:tcPr>
            <w:tcW w:w="479" w:type="dxa"/>
            <w:textDirection w:val="lrTb"/>
            <w:noWrap w:val="false"/>
          </w:tcPr>
          <w:p>
            <w:pPr>
              <w:pStyle w:val="625"/>
              <w:jc w:val="right"/>
              <w:spacing w:before="0" w:after="60" w:line="240" w:lineRule="auto"/>
              <w:widowControl/>
              <w:rPr>
                <w:rFonts w:ascii="Times New Roman" w:hAnsi="Times New Roman" w:eastAsia="Calibri"/>
                <w:sz w:val="28"/>
                <w:szCs w:val="28"/>
                <w:lang w:val="ru-RU" w:bidi="ar-SA"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val="ru-RU" w:bidi="ar-SA" w:eastAsia="en-US"/>
              </w:rPr>
              <w:t xml:space="preserve">от</w:t>
            </w:r>
            <w:r/>
          </w:p>
        </w:tc>
        <w:tc>
          <w:tcPr>
            <w:tcW w:w="1870" w:type="dxa"/>
            <w:textDirection w:val="lrTb"/>
            <w:noWrap w:val="false"/>
          </w:tcPr>
          <w:p>
            <w:pPr>
              <w:pStyle w:val="625"/>
              <w:jc w:val="right"/>
              <w:spacing w:before="0" w:after="60" w:line="240" w:lineRule="auto"/>
              <w:widowControl/>
              <w:rPr>
                <w:rFonts w:eastAsia="Calibri"/>
                <w:lang w:bidi="ar-SA" w:eastAsia="en-US"/>
              </w:rPr>
            </w:pPr>
            <w:r>
              <w:rPr>
                <w:rFonts w:ascii="Times New Roman" w:hAnsi="Times New Roman" w:eastAsia="Calibri"/>
                <w:color w:val="FFFFFF"/>
                <w:sz w:val="28"/>
                <w:szCs w:val="28"/>
                <w:lang w:val="ru-RU" w:bidi="ar-SA" w:eastAsia="en-US"/>
              </w:rPr>
              <w:t xml:space="preserve">[</w:t>
            </w:r>
            <w:r>
              <w:rPr>
                <w:rFonts w:ascii="Times New Roman" w:hAnsi="Times New Roman" w:eastAsia="Calibri"/>
                <w:color w:val="FFFFFF"/>
                <w:sz w:val="28"/>
                <w:szCs w:val="28"/>
                <w:lang w:val="en-US" w:bidi="ar-SA" w:eastAsia="en-US"/>
              </w:rPr>
              <w:t xml:space="preserve">R</w:t>
            </w:r>
            <w:r>
              <w:rPr>
                <w:rFonts w:ascii="Times New Roman" w:hAnsi="Times New Roman" w:eastAsia="Calibri"/>
                <w:color w:val="FFFFFF"/>
                <w:sz w:val="16"/>
                <w:szCs w:val="28"/>
                <w:lang w:val="en-US" w:bidi="ar-SA" w:eastAsia="en-US"/>
              </w:rPr>
              <w:t xml:space="preserve">EGDATESTAMP</w:t>
            </w:r>
            <w:r>
              <w:rPr>
                <w:rFonts w:ascii="Times New Roman" w:hAnsi="Times New Roman" w:eastAsia="Calibri"/>
                <w:color w:val="FFFFFF"/>
                <w:sz w:val="16"/>
                <w:szCs w:val="28"/>
                <w:lang w:val="ru-RU" w:bidi="ar-SA" w:eastAsia="en-US"/>
              </w:rPr>
              <w:t xml:space="preserve">]</w:t>
            </w:r>
            <w:r/>
          </w:p>
        </w:tc>
        <w:tc>
          <w:tcPr>
            <w:tcW w:w="486" w:type="dxa"/>
            <w:textDirection w:val="lrTb"/>
            <w:noWrap w:val="false"/>
          </w:tcPr>
          <w:p>
            <w:pPr>
              <w:pStyle w:val="625"/>
              <w:jc w:val="right"/>
              <w:spacing w:before="0" w:after="60" w:line="240" w:lineRule="auto"/>
              <w:widowControl/>
              <w:rPr>
                <w:rFonts w:ascii="Times New Roman" w:hAnsi="Times New Roman" w:eastAsia="Calibri"/>
                <w:sz w:val="28"/>
                <w:szCs w:val="28"/>
                <w:lang w:val="ru-RU" w:bidi="ar-SA"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val="ru-RU" w:bidi="ar-SA" w:eastAsia="en-US"/>
              </w:rPr>
              <w:t xml:space="preserve">№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25"/>
              <w:jc w:val="right"/>
              <w:spacing w:before="0" w:after="60" w:line="240" w:lineRule="auto"/>
              <w:widowControl/>
              <w:rPr>
                <w:rFonts w:eastAsia="Calibri"/>
                <w:lang w:val="ru-RU" w:bidi="ar-SA" w:eastAsia="en-US"/>
              </w:rPr>
            </w:pPr>
            <w:r>
              <w:rPr>
                <w:rFonts w:ascii="Times New Roman" w:hAnsi="Times New Roman" w:eastAsia="Calibri"/>
                <w:color w:val="FFFFFF"/>
                <w:sz w:val="28"/>
                <w:szCs w:val="28"/>
                <w:lang w:val="ru-RU" w:bidi="ar-SA" w:eastAsia="en-US"/>
              </w:rPr>
              <w:t xml:space="preserve">[R</w:t>
            </w:r>
            <w:r>
              <w:rPr>
                <w:rFonts w:ascii="Times New Roman" w:hAnsi="Times New Roman" w:eastAsia="Calibri"/>
                <w:color w:val="FFFFFF"/>
                <w:sz w:val="16"/>
                <w:szCs w:val="28"/>
                <w:lang w:val="ru-RU" w:bidi="ar-SA" w:eastAsia="en-US"/>
              </w:rPr>
              <w:t xml:space="preserve">EGNUMSTAMP]</w:t>
            </w:r>
            <w:r/>
          </w:p>
        </w:tc>
      </w:tr>
    </w:tbl>
    <w:p>
      <w:pPr>
        <w:pStyle w:val="625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  <w:shd w:val="clear" w:color="auto" w:fill="ffff00"/>
        </w:rPr>
      </w:r>
      <w:r/>
    </w:p>
    <w:p>
      <w:pPr>
        <w:pStyle w:val="625"/>
        <w:jc w:val="center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в государственную программу Камчатского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 489-П </w:t>
      </w:r>
      <w:r>
        <w:rPr>
          <w:rFonts w:ascii="Times New Roman" w:hAnsi="Times New Roman"/>
          <w:sz w:val="28"/>
          <w:szCs w:val="28"/>
        </w:rPr>
        <w:t xml:space="preserve">(далее – Программа)</w:t>
      </w:r>
      <w:r/>
    </w:p>
    <w:p>
      <w:pPr>
        <w:pStyle w:val="625"/>
        <w:jc w:val="both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Позицию «Объемы бюджетных ассигнований Программы» паспорта Программы изложить в следующей редакции:</w:t>
      </w:r>
      <w:r/>
    </w:p>
    <w:tbl>
      <w:tblPr>
        <w:tblW w:w="9807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"/>
        <w:gridCol w:w="3152"/>
        <w:gridCol w:w="343"/>
        <w:gridCol w:w="5669"/>
        <w:gridCol w:w="393"/>
      </w:tblGrid>
      <w:tr>
        <w:trPr/>
        <w:tc>
          <w:tcPr>
            <w:gridSpan w:val="2"/>
            <w:tcW w:w="3402" w:type="dxa"/>
            <w:textDirection w:val="lrTb"/>
            <w:noWrap w:val="false"/>
          </w:tcPr>
          <w:p>
            <w:pPr>
              <w:pStyle w:val="625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/>
            <w:bookmarkStart w:id="3" w:name="sub_991"/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Программы</w:t>
            </w:r>
            <w:bookmarkEnd w:id="3"/>
            <w:r/>
            <w:r/>
          </w:p>
        </w:tc>
        <w:tc>
          <w:tcPr>
            <w:gridSpan w:val="3"/>
            <w:tcW w:w="6405" w:type="dxa"/>
            <w:textDirection w:val="lrTb"/>
            <w:noWrap w:val="false"/>
          </w:tcPr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5 076 305,17207 тыс. рублей, в том числе за счет средств: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                       24 851,80000 тыс. рублей, из них по годам: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4 379,0000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2 284,10000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499,70000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17 689,00000 тыс. рублей,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краевого бюджета – 5 046 432,07608 тыс. рублей, из них по годам: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678 772,75112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483 222,57671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449 098,99268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134 502,10056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429 590,59146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395 110,04008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389 033,53506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399 761,64351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381 829,91070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434 766,95789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434 867,46789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435 875,50842 тыс. рублей,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местных бюджетов (по согласованию) –                                   5 021,29599 тыс. рублей, в том числе по годам: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5 000,00000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3,65400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17,64199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0,00000 тыс. рублей; 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0,00000 тыс. рублей;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tabs>
                <w:tab w:val="clear" w:pos="708" w:leader="none"/>
                <w:tab w:val="left" w:pos="11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0,00000 тыс. рублей.».</w:t>
            </w:r>
            <w:r/>
          </w:p>
        </w:tc>
      </w:tr>
      <w:tr>
        <w:trPr/>
        <w:tc>
          <w:tcPr>
            <w:tcW w:w="250" w:type="dxa"/>
            <w:textDirection w:val="lrTb"/>
            <w:noWrap w:val="false"/>
          </w:tcPr>
          <w:p>
            <w:pPr>
              <w:pStyle w:val="625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3495" w:type="dxa"/>
            <w:textDirection w:val="lrTb"/>
            <w:noWrap w:val="false"/>
          </w:tcPr>
          <w:p>
            <w:pPr>
              <w:pStyle w:val="625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pStyle w:val="625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25"/>
        <w:ind w:left="0" w:right="0" w:firstLine="709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Позицию «Объемы бюджетных ассигнований Подпрограммы 1» паспорта Подпрограммы 1 «Повышение эффективности управления краевым имуществом» изложить в следующей редакции:</w:t>
      </w:r>
      <w:r/>
    </w:p>
    <w:tbl>
      <w:tblPr>
        <w:tblW w:w="9823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45"/>
        <w:gridCol w:w="6278"/>
      </w:tblGrid>
      <w:tr>
        <w:trPr/>
        <w:tc>
          <w:tcPr>
            <w:tcW w:w="3545" w:type="dxa"/>
            <w:textDirection w:val="lrTb"/>
            <w:noWrap w:val="false"/>
          </w:tcPr>
          <w:p>
            <w:pPr>
              <w:pStyle w:val="625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  <w:r/>
          </w:p>
          <w:p>
            <w:pPr>
              <w:pStyle w:val="625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/>
            <w:bookmarkStart w:id="4" w:name="sub_1991"/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1</w:t>
            </w:r>
            <w:bookmarkEnd w:id="4"/>
            <w:r/>
            <w:r/>
          </w:p>
        </w:tc>
        <w:tc>
          <w:tcPr>
            <w:tcW w:w="6278" w:type="dxa"/>
            <w:textDirection w:val="lrTb"/>
            <w:noWrap w:val="false"/>
          </w:tcPr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1 составляет 4 138 777,12637 тыс. рублей, в том числе за счет средств: 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                             24 851,80000 тыс. рублей, из них по годам: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4 379,00000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2 284,10000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499,70000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0,00000 тыс. рублей; 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17 689,00000 тыс. рублей,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краевого бюджета – 4 108 904,03038 тыс. рублей, из них по годам: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608 575,64112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416 196,10871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384 947,55877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68 229,12856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352 424,01640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319 972,64608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313 850,54410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325 456,53060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311 138,66604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336 134,26000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335 764,86000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336 214,07000 тыс. рублей,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местных бюджетов (по согласованию) –                                           5 021,29599 тыс. рублей, в том числе по годам: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5 000,00000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3,65400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17,64199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0,00000 тыс. рублей;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0,00000 тыс. рублей;</w:t>
            </w:r>
            <w:r/>
          </w:p>
          <w:p>
            <w:pPr>
              <w:pStyle w:val="642"/>
              <w:numPr>
                <w:ilvl w:val="0"/>
                <w:numId w:val="2"/>
              </w:numPr>
              <w:contextualSpacing w:val="0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– 0,00000 тыс. рублей;</w:t>
            </w:r>
            <w:r/>
          </w:p>
          <w:p>
            <w:pPr>
              <w:pStyle w:val="642"/>
              <w:numPr>
                <w:ilvl w:val="0"/>
                <w:numId w:val="2"/>
              </w:numPr>
              <w:contextualSpacing w:val="0"/>
              <w:jc w:val="both"/>
              <w:spacing w:before="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– 0,00000 тыс. рублей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</w:t>
            </w:r>
            <w:r/>
          </w:p>
          <w:p>
            <w:pPr>
              <w:pStyle w:val="642"/>
              <w:numPr>
                <w:ilvl w:val="0"/>
                <w:numId w:val="2"/>
              </w:numPr>
              <w:contextualSpacing w:val="0"/>
              <w:jc w:val="both"/>
              <w:spacing w:before="0" w:after="0"/>
              <w:widowControl w:val="off"/>
              <w:tabs>
                <w:tab w:val="clear" w:pos="708" w:leader="none"/>
                <w:tab w:val="left" w:pos="526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– 0,00000 тыс. рублей.».</w:t>
            </w:r>
            <w:r/>
          </w:p>
          <w:p>
            <w:pPr>
              <w:pStyle w:val="625"/>
              <w:ind w:left="0" w:right="0" w:hanging="29"/>
              <w:jc w:val="both"/>
              <w:spacing w:before="0" w:after="0"/>
              <w:widowControl w:val="off"/>
              <w:tabs>
                <w:tab w:val="clear" w:pos="708" w:leader="none"/>
                <w:tab w:val="left" w:pos="526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25"/>
        <w:ind w:left="0" w:right="0" w:firstLine="709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3 к Программе изложить в редакции согласно приложению к настоящему приложению.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739" w:right="851" w:bottom="1134" w:left="1418" w:header="1134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hit Devanagari">
    <w:panose1 w:val="020B0600000000000000"/>
  </w:font>
  <w:font w:name="Open Sans">
    <w:panose1 w:val="020B060603050402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3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%1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%2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%3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%4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%5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%6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%7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%8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%9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ind w:left="571" w:hanging="60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5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77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49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1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3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5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37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09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Calibr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5"/>
    <w:next w:val="62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2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5"/>
    <w:next w:val="62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2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5"/>
    <w:next w:val="62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2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5"/>
    <w:next w:val="62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5"/>
    <w:next w:val="62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6"/>
    <w:link w:val="32"/>
    <w:uiPriority w:val="10"/>
    <w:rPr>
      <w:sz w:val="48"/>
      <w:szCs w:val="48"/>
    </w:rPr>
  </w:style>
  <w:style w:type="paragraph" w:styleId="34">
    <w:name w:val="Subtitle"/>
    <w:basedOn w:val="625"/>
    <w:next w:val="62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6"/>
    <w:link w:val="34"/>
    <w:uiPriority w:val="11"/>
    <w:rPr>
      <w:sz w:val="24"/>
      <w:szCs w:val="24"/>
    </w:rPr>
  </w:style>
  <w:style w:type="paragraph" w:styleId="36">
    <w:name w:val="Quote"/>
    <w:basedOn w:val="625"/>
    <w:next w:val="62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5"/>
    <w:next w:val="62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26"/>
    <w:link w:val="641"/>
    <w:uiPriority w:val="99"/>
  </w:style>
  <w:style w:type="character" w:styleId="43">
    <w:name w:val="Footer Char"/>
    <w:basedOn w:val="626"/>
    <w:link w:val="639"/>
    <w:uiPriority w:val="99"/>
  </w:style>
  <w:style w:type="character" w:styleId="45">
    <w:name w:val="Caption Char"/>
    <w:basedOn w:val="635"/>
    <w:link w:val="639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6"/>
    <w:uiPriority w:val="99"/>
    <w:unhideWhenUsed/>
    <w:rPr>
      <w:vertAlign w:val="superscript"/>
    </w:rPr>
  </w:style>
  <w:style w:type="paragraph" w:styleId="176">
    <w:name w:val="endnote text"/>
    <w:basedOn w:val="62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6"/>
    <w:uiPriority w:val="99"/>
    <w:semiHidden/>
    <w:unhideWhenUsed/>
    <w:rPr>
      <w:vertAlign w:val="superscript"/>
    </w:rPr>
  </w:style>
  <w:style w:type="paragraph" w:styleId="179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/>
      <w:color w:val="auto"/>
      <w:sz w:val="22"/>
      <w:szCs w:val="22"/>
      <w:lang w:val="ru-RU" w:bidi="ar-SA" w:eastAsia="en-US"/>
    </w:rPr>
  </w:style>
  <w:style w:type="character" w:styleId="626" w:default="1">
    <w:name w:val="Default Paragraph Font"/>
    <w:qFormat/>
  </w:style>
  <w:style w:type="character" w:styleId="627">
    <w:name w:val="Текст Знак"/>
    <w:basedOn w:val="626"/>
    <w:link w:val="637"/>
    <w:qFormat/>
    <w:rPr>
      <w:rFonts w:ascii="Calibri" w:hAnsi="Calibri" w:cs="Times New Roman" w:eastAsia="Calibri"/>
      <w:szCs w:val="21"/>
    </w:rPr>
  </w:style>
  <w:style w:type="character" w:styleId="628">
    <w:name w:val="Нижний колонтитул Знак"/>
    <w:basedOn w:val="626"/>
    <w:qFormat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629">
    <w:name w:val="Текст выноски Знак"/>
    <w:basedOn w:val="626"/>
    <w:link w:val="640"/>
    <w:qFormat/>
    <w:rPr>
      <w:rFonts w:ascii="Segoe UI" w:hAnsi="Segoe UI" w:cs="Segoe UI"/>
      <w:sz w:val="18"/>
      <w:szCs w:val="18"/>
    </w:rPr>
  </w:style>
  <w:style w:type="character" w:styleId="630">
    <w:name w:val="Верхний колонтитул Знак"/>
    <w:basedOn w:val="626"/>
    <w:qFormat/>
  </w:style>
  <w:style w:type="character" w:styleId="631">
    <w:name w:val="Hyperlink"/>
    <w:basedOn w:val="626"/>
    <w:rPr>
      <w:color w:val="0563C1"/>
      <w:u w:val="single"/>
    </w:rPr>
  </w:style>
  <w:style w:type="paragraph" w:styleId="632">
    <w:name w:val="Заголовок"/>
    <w:basedOn w:val="625"/>
    <w:next w:val="633"/>
    <w:qFormat/>
    <w:pPr>
      <w:keepNext/>
      <w:spacing w:before="240" w:after="120"/>
    </w:pPr>
    <w:rPr>
      <w:rFonts w:ascii="Open Sans" w:hAnsi="Open Sans" w:cs="Lohit Devanagari" w:eastAsia="Tahoma"/>
      <w:sz w:val="28"/>
      <w:szCs w:val="28"/>
    </w:rPr>
  </w:style>
  <w:style w:type="paragraph" w:styleId="633">
    <w:name w:val="Body Text"/>
    <w:basedOn w:val="625"/>
    <w:pPr>
      <w:spacing w:before="0" w:after="140" w:line="276" w:lineRule="auto"/>
    </w:pPr>
  </w:style>
  <w:style w:type="paragraph" w:styleId="634">
    <w:name w:val="List"/>
    <w:basedOn w:val="633"/>
    <w:rPr>
      <w:rFonts w:cs="Lohit Devanagari"/>
    </w:rPr>
  </w:style>
  <w:style w:type="paragraph" w:styleId="635">
    <w:name w:val="Caption"/>
    <w:basedOn w:val="625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36">
    <w:name w:val="Указатель"/>
    <w:basedOn w:val="625"/>
    <w:qFormat/>
    <w:pPr>
      <w:suppressLineNumbers/>
    </w:pPr>
    <w:rPr>
      <w:rFonts w:cs="Lohit Devanagari"/>
    </w:rPr>
  </w:style>
  <w:style w:type="paragraph" w:styleId="637">
    <w:name w:val="Plain Text"/>
    <w:basedOn w:val="625"/>
    <w:link w:val="627"/>
    <w:qFormat/>
    <w:pPr>
      <w:spacing w:before="0" w:after="0" w:line="240" w:lineRule="auto"/>
    </w:pPr>
    <w:rPr>
      <w:rFonts w:ascii="Calibri" w:hAnsi="Calibri" w:cs="Times New Roman" w:eastAsia="Calibri"/>
      <w:szCs w:val="21"/>
    </w:rPr>
  </w:style>
  <w:style w:type="paragraph" w:styleId="638">
    <w:name w:val="Колонтитул"/>
    <w:basedOn w:val="625"/>
    <w:qFormat/>
  </w:style>
  <w:style w:type="paragraph" w:styleId="639">
    <w:name w:val="Footer"/>
    <w:basedOn w:val="625"/>
    <w:link w:val="628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640">
    <w:name w:val="Balloon Text"/>
    <w:basedOn w:val="625"/>
    <w:link w:val="629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41">
    <w:name w:val="Header"/>
    <w:basedOn w:val="625"/>
    <w:link w:val="630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42">
    <w:name w:val="List Paragraph"/>
    <w:basedOn w:val="625"/>
    <w:qFormat/>
    <w:pPr>
      <w:contextualSpacing/>
      <w:ind w:left="720" w:right="0" w:firstLine="0"/>
      <w:spacing w:before="0" w:after="0"/>
    </w:pPr>
  </w:style>
  <w:style w:type="paragraph" w:styleId="643">
    <w:name w:val="Верхний колонтитул слева"/>
    <w:basedOn w:val="641"/>
    <w:qFormat/>
    <w:pPr>
      <w:tabs>
        <w:tab w:val="clear" w:pos="4677" w:leader="none"/>
        <w:tab w:val="center" w:pos="4818" w:leader="none"/>
        <w:tab w:val="clear" w:pos="9355" w:leader="none"/>
        <w:tab w:val="right" w:pos="9637" w:leader="none"/>
      </w:tabs>
      <w:suppressLineNumbers/>
    </w:pPr>
  </w:style>
  <w:style w:type="paragraph" w:styleId="644">
    <w:name w:val="Содержимое таблицы"/>
    <w:basedOn w:val="625"/>
    <w:qFormat/>
    <w:pPr>
      <w:widowControl w:val="off"/>
      <w:suppressLineNumbers/>
    </w:pPr>
  </w:style>
  <w:style w:type="numbering" w:styleId="1317" w:default="1">
    <w:name w:val="No List"/>
    <w:uiPriority w:val="99"/>
    <w:semiHidden/>
    <w:unhideWhenUsed/>
  </w:style>
  <w:style w:type="table" w:styleId="13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dc:language>ru-RU</dc:language>
  <cp:lastModifiedBy>Чавва Яна Алексеевна</cp:lastModifiedBy>
  <cp:revision>10</cp:revision>
  <dcterms:created xsi:type="dcterms:W3CDTF">2023-03-20T01:21:00Z</dcterms:created>
  <dcterms:modified xsi:type="dcterms:W3CDTF">2023-04-20T01:48:47Z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