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A5" w:rsidRPr="00406970" w:rsidRDefault="00624CA5" w:rsidP="00822ACB">
      <w:pPr>
        <w:spacing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  <w:r w:rsidRPr="00406970">
        <w:rPr>
          <w:rFonts w:ascii="Times New Roman" w:hAnsi="Times New Roman"/>
          <w:b/>
          <w:sz w:val="27"/>
          <w:szCs w:val="27"/>
        </w:rPr>
        <w:t>Меры по повышению эффективности и оптимизации расходов</w:t>
      </w:r>
    </w:p>
    <w:p w:rsidR="00624CA5" w:rsidRPr="00406970" w:rsidRDefault="00624CA5" w:rsidP="00822ACB">
      <w:pPr>
        <w:spacing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  <w:r w:rsidRPr="00406970">
        <w:rPr>
          <w:rFonts w:ascii="Times New Roman" w:hAnsi="Times New Roman"/>
          <w:b/>
          <w:sz w:val="27"/>
          <w:szCs w:val="27"/>
        </w:rPr>
        <w:t xml:space="preserve"> местных бюджетов (опыт, проблемы и т.д.)</w:t>
      </w:r>
    </w:p>
    <w:p w:rsidR="00807752" w:rsidRPr="00406970" w:rsidRDefault="00807752" w:rsidP="00822ACB">
      <w:pPr>
        <w:spacing w:line="240" w:lineRule="auto"/>
        <w:ind w:left="-284"/>
        <w:jc w:val="center"/>
        <w:rPr>
          <w:rFonts w:ascii="Times New Roman" w:hAnsi="Times New Roman"/>
          <w:sz w:val="27"/>
          <w:szCs w:val="27"/>
        </w:rPr>
      </w:pPr>
    </w:p>
    <w:p w:rsidR="00624CA5" w:rsidRPr="00406970" w:rsidRDefault="006140FF" w:rsidP="0084684E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 </w:t>
      </w:r>
      <w:r w:rsidR="00624CA5" w:rsidRPr="00406970">
        <w:rPr>
          <w:rFonts w:ascii="Times New Roman" w:hAnsi="Times New Roman"/>
          <w:sz w:val="27"/>
          <w:szCs w:val="27"/>
        </w:rPr>
        <w:t xml:space="preserve">Бюджет </w:t>
      </w:r>
      <w:proofErr w:type="spellStart"/>
      <w:r w:rsidR="00624CA5"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="00624CA5" w:rsidRPr="00406970">
        <w:rPr>
          <w:rFonts w:ascii="Times New Roman" w:hAnsi="Times New Roman"/>
          <w:sz w:val="27"/>
          <w:szCs w:val="27"/>
        </w:rPr>
        <w:t xml:space="preserve"> муниципального района на 2016 год сбалансирован, имеет социальную направленность. 82,0 процента расходов бюджета направлены на финансирование расходов по разделам «Образование», «Социальная защита населения», «Культура», «Физическая культура и спорт». Бюджет сформирован с учетом индексации заработной платы работникам учреждений образования, культуры и спорта на 7,0 процентов с 1 июля 2016 года, финансового обеспечения расходов на оплату коммунальных услуг муниципальными учреждениями в полном объеме. На 2016 год в полном объеме сохранены меры социальной поддержки, предусмотренные в 2015 году. </w:t>
      </w:r>
    </w:p>
    <w:p w:rsidR="003D5476" w:rsidRPr="00406970" w:rsidRDefault="00624CA5" w:rsidP="00582DA1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В районе постоянно </w:t>
      </w:r>
      <w:proofErr w:type="gramStart"/>
      <w:r w:rsidRPr="00406970">
        <w:rPr>
          <w:rFonts w:ascii="Times New Roman" w:hAnsi="Times New Roman"/>
          <w:sz w:val="27"/>
          <w:szCs w:val="27"/>
        </w:rPr>
        <w:t>ведется  работа</w:t>
      </w:r>
      <w:proofErr w:type="gramEnd"/>
      <w:r w:rsidRPr="00406970">
        <w:rPr>
          <w:rFonts w:ascii="Times New Roman" w:hAnsi="Times New Roman"/>
          <w:sz w:val="27"/>
          <w:szCs w:val="27"/>
        </w:rPr>
        <w:t xml:space="preserve"> по оптимизации расходов бюджета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для сокращения необеспеченных доходами расходов. За 2015 год общая сумма оптимизации расходов составила 31,5 млн. рублей. </w:t>
      </w:r>
      <w:r w:rsidR="000D61A2" w:rsidRPr="00406970">
        <w:rPr>
          <w:rFonts w:ascii="Times New Roman" w:hAnsi="Times New Roman"/>
          <w:sz w:val="27"/>
          <w:szCs w:val="27"/>
        </w:rPr>
        <w:t>Постоянно</w:t>
      </w:r>
      <w:r w:rsidR="00B32465" w:rsidRPr="00406970">
        <w:rPr>
          <w:rFonts w:ascii="Times New Roman" w:hAnsi="Times New Roman"/>
          <w:sz w:val="27"/>
          <w:szCs w:val="27"/>
        </w:rPr>
        <w:t xml:space="preserve"> п</w:t>
      </w:r>
      <w:r w:rsidRPr="00406970">
        <w:rPr>
          <w:rFonts w:ascii="Times New Roman" w:hAnsi="Times New Roman"/>
          <w:sz w:val="27"/>
          <w:szCs w:val="27"/>
        </w:rPr>
        <w:t xml:space="preserve">роводится мониторинг штатной численности муниципальных служащих органов местного самоуправления Администрации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с целью недопущения </w:t>
      </w:r>
      <w:r w:rsidR="000B300C" w:rsidRPr="00406970">
        <w:rPr>
          <w:rFonts w:ascii="Times New Roman" w:hAnsi="Times New Roman"/>
          <w:sz w:val="27"/>
          <w:szCs w:val="27"/>
        </w:rPr>
        <w:t xml:space="preserve">их </w:t>
      </w:r>
      <w:r w:rsidRPr="00406970">
        <w:rPr>
          <w:rFonts w:ascii="Times New Roman" w:hAnsi="Times New Roman"/>
          <w:sz w:val="27"/>
          <w:szCs w:val="27"/>
        </w:rPr>
        <w:t>увеличения</w:t>
      </w:r>
      <w:r w:rsidR="000B300C" w:rsidRPr="00406970">
        <w:rPr>
          <w:rFonts w:ascii="Times New Roman" w:hAnsi="Times New Roman"/>
          <w:sz w:val="27"/>
          <w:szCs w:val="27"/>
        </w:rPr>
        <w:t>.</w:t>
      </w:r>
      <w:r w:rsidRPr="00406970">
        <w:rPr>
          <w:rFonts w:ascii="Times New Roman" w:hAnsi="Times New Roman"/>
          <w:sz w:val="27"/>
          <w:szCs w:val="27"/>
        </w:rPr>
        <w:t xml:space="preserve"> Сокращены расходы, связанные с направлением сотрудников органов Администрации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района, муниципальных учреждений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в служебные командировки. </w:t>
      </w:r>
      <w:r w:rsidR="004768D6" w:rsidRPr="00406970">
        <w:rPr>
          <w:rFonts w:ascii="Times New Roman" w:hAnsi="Times New Roman"/>
          <w:sz w:val="27"/>
          <w:szCs w:val="27"/>
        </w:rPr>
        <w:t xml:space="preserve">Так, за 2016 года сокращены расходы на содержание органов местного самоуправления в общей сумме </w:t>
      </w:r>
      <w:r w:rsidR="003D5476" w:rsidRPr="00406970">
        <w:rPr>
          <w:rFonts w:ascii="Times New Roman" w:hAnsi="Times New Roman"/>
          <w:sz w:val="27"/>
          <w:szCs w:val="27"/>
        </w:rPr>
        <w:t>2 353,1 тыс. рублей, в том числе:</w:t>
      </w:r>
    </w:p>
    <w:p w:rsidR="003D5476" w:rsidRPr="00406970" w:rsidRDefault="003D5476" w:rsidP="00582DA1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- Управление архитектуры, градостроительства, земельных отношений и природопользования – 223,0 тыс. рублей;</w:t>
      </w:r>
    </w:p>
    <w:p w:rsidR="003D5476" w:rsidRPr="00406970" w:rsidRDefault="003D5476" w:rsidP="008D425B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- Управление финансово-бюджетной политики – 367,8 тыс. рублей</w:t>
      </w:r>
      <w:r w:rsidR="00527F7A" w:rsidRPr="00406970">
        <w:rPr>
          <w:rFonts w:ascii="Times New Roman" w:hAnsi="Times New Roman"/>
          <w:sz w:val="27"/>
          <w:szCs w:val="27"/>
        </w:rPr>
        <w:t>;</w:t>
      </w:r>
    </w:p>
    <w:p w:rsidR="00527F7A" w:rsidRPr="00406970" w:rsidRDefault="00527F7A" w:rsidP="008D425B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- Управление делами – 304,0 тыс. рублей;</w:t>
      </w:r>
    </w:p>
    <w:p w:rsidR="00527F7A" w:rsidRPr="00406970" w:rsidRDefault="00527F7A" w:rsidP="008D425B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- Управление образования – 991,0 </w:t>
      </w:r>
      <w:r w:rsidR="00213D82" w:rsidRPr="00406970">
        <w:rPr>
          <w:rFonts w:ascii="Times New Roman" w:hAnsi="Times New Roman"/>
          <w:sz w:val="27"/>
          <w:szCs w:val="27"/>
        </w:rPr>
        <w:t>тыс. рублей;</w:t>
      </w:r>
    </w:p>
    <w:p w:rsidR="00213D82" w:rsidRPr="00406970" w:rsidRDefault="00213D82" w:rsidP="008D425B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- Администрация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– 467,3 тыс. рублей.</w:t>
      </w:r>
    </w:p>
    <w:p w:rsidR="00582DA1" w:rsidRPr="00406970" w:rsidRDefault="00582DA1" w:rsidP="008D425B">
      <w:pPr>
        <w:ind w:firstLine="720"/>
        <w:rPr>
          <w:rFonts w:ascii="Times New Roman" w:hAnsi="Times New Roman"/>
          <w:sz w:val="27"/>
          <w:szCs w:val="27"/>
        </w:rPr>
      </w:pPr>
    </w:p>
    <w:p w:rsidR="00624CA5" w:rsidRPr="00406970" w:rsidRDefault="004768D6" w:rsidP="00B719A9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  </w:t>
      </w:r>
      <w:r w:rsidR="00624CA5" w:rsidRPr="00406970">
        <w:rPr>
          <w:rFonts w:ascii="Times New Roman" w:hAnsi="Times New Roman"/>
          <w:sz w:val="27"/>
          <w:szCs w:val="27"/>
        </w:rPr>
        <w:t xml:space="preserve">Проведена оптимизация штатной численности в муниципальных учреждениях </w:t>
      </w:r>
      <w:proofErr w:type="spellStart"/>
      <w:r w:rsidR="00624CA5"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="00624CA5" w:rsidRPr="00406970">
        <w:rPr>
          <w:rFonts w:ascii="Times New Roman" w:hAnsi="Times New Roman"/>
          <w:sz w:val="27"/>
          <w:szCs w:val="27"/>
        </w:rPr>
        <w:t xml:space="preserve"> муниципального района. </w:t>
      </w:r>
    </w:p>
    <w:p w:rsidR="00624CA5" w:rsidRPr="00406970" w:rsidRDefault="00624CA5" w:rsidP="0084684E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При Администрации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создана Рабочая группа по анализу исполнения отдельных положений Указа Президента РФ от 07.05.2012 г. № 597 «О мероприятиях по реализации государственной социальной политики». Реализация Указа Президента осуществляется посредством исполнения Плана мероприятий («дорожной картой») по повышению эффективности и качества услуг в сфере социального обслуживания населения, а также по совершенствованию системы оплаты труда и увязке ее со структурными изменениями, направленными на повышение эффективности сферы культуры в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Елизовском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муниципальном районе. </w:t>
      </w:r>
      <w:proofErr w:type="gramStart"/>
      <w:r w:rsidRPr="00406970">
        <w:rPr>
          <w:rFonts w:ascii="Times New Roman" w:hAnsi="Times New Roman"/>
          <w:sz w:val="27"/>
          <w:szCs w:val="27"/>
        </w:rPr>
        <w:t>Реализация  «</w:t>
      </w:r>
      <w:proofErr w:type="gramEnd"/>
      <w:r w:rsidRPr="00406970">
        <w:rPr>
          <w:rFonts w:ascii="Times New Roman" w:hAnsi="Times New Roman"/>
          <w:sz w:val="27"/>
          <w:szCs w:val="27"/>
        </w:rPr>
        <w:t>Плана мероприятий («дорожн</w:t>
      </w:r>
      <w:r w:rsidR="004D3D3E" w:rsidRPr="00406970">
        <w:rPr>
          <w:rFonts w:ascii="Times New Roman" w:hAnsi="Times New Roman"/>
          <w:sz w:val="27"/>
          <w:szCs w:val="27"/>
        </w:rPr>
        <w:t>ая</w:t>
      </w:r>
      <w:r w:rsidRPr="00406970">
        <w:rPr>
          <w:rFonts w:ascii="Times New Roman" w:hAnsi="Times New Roman"/>
          <w:sz w:val="27"/>
          <w:szCs w:val="27"/>
        </w:rPr>
        <w:t xml:space="preserve"> карт</w:t>
      </w:r>
      <w:r w:rsidR="004D3D3E" w:rsidRPr="00406970">
        <w:rPr>
          <w:rFonts w:ascii="Times New Roman" w:hAnsi="Times New Roman"/>
          <w:sz w:val="27"/>
          <w:szCs w:val="27"/>
        </w:rPr>
        <w:t>а</w:t>
      </w:r>
      <w:r w:rsidRPr="00406970">
        <w:rPr>
          <w:rFonts w:ascii="Times New Roman" w:hAnsi="Times New Roman"/>
          <w:sz w:val="27"/>
          <w:szCs w:val="27"/>
        </w:rPr>
        <w:t>») по повышению эффективности и качества услуг в сфере социального обслуживания населения» осуществляется с учетом изменения целевых показателей.</w:t>
      </w:r>
    </w:p>
    <w:p w:rsidR="00322C73" w:rsidRPr="00406970" w:rsidRDefault="00BD5995" w:rsidP="0029554A">
      <w:pPr>
        <w:ind w:firstLine="72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Мониторинг </w:t>
      </w:r>
      <w:r w:rsidR="00624CA5" w:rsidRPr="00406970">
        <w:rPr>
          <w:rFonts w:ascii="Times New Roman" w:hAnsi="Times New Roman"/>
          <w:sz w:val="27"/>
          <w:szCs w:val="27"/>
        </w:rPr>
        <w:t xml:space="preserve">финансового обеспечения мероприятий </w:t>
      </w:r>
      <w:proofErr w:type="spellStart"/>
      <w:r w:rsidR="00624CA5" w:rsidRPr="00406970">
        <w:rPr>
          <w:rFonts w:ascii="Times New Roman" w:hAnsi="Times New Roman"/>
          <w:sz w:val="27"/>
          <w:szCs w:val="27"/>
        </w:rPr>
        <w:t>неинвестиционного</w:t>
      </w:r>
      <w:proofErr w:type="spellEnd"/>
      <w:r w:rsidR="00624CA5" w:rsidRPr="00406970">
        <w:rPr>
          <w:rFonts w:ascii="Times New Roman" w:hAnsi="Times New Roman"/>
          <w:sz w:val="27"/>
          <w:szCs w:val="27"/>
        </w:rPr>
        <w:t xml:space="preserve"> характера муниципальных целевых программ </w:t>
      </w:r>
      <w:proofErr w:type="spellStart"/>
      <w:r w:rsidR="00624CA5"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="00624CA5" w:rsidRPr="00406970">
        <w:rPr>
          <w:rFonts w:ascii="Times New Roman" w:hAnsi="Times New Roman"/>
          <w:sz w:val="27"/>
          <w:szCs w:val="27"/>
        </w:rPr>
        <w:t xml:space="preserve"> муниципального района в 2015 году </w:t>
      </w:r>
      <w:r w:rsidR="00A53A4D" w:rsidRPr="00406970">
        <w:rPr>
          <w:rFonts w:ascii="Times New Roman" w:hAnsi="Times New Roman"/>
          <w:sz w:val="27"/>
          <w:szCs w:val="27"/>
        </w:rPr>
        <w:t>позволил сократить</w:t>
      </w:r>
      <w:r w:rsidR="00624CA5" w:rsidRPr="00406970">
        <w:rPr>
          <w:rFonts w:ascii="Times New Roman" w:hAnsi="Times New Roman"/>
          <w:sz w:val="27"/>
          <w:szCs w:val="27"/>
        </w:rPr>
        <w:t xml:space="preserve"> расход</w:t>
      </w:r>
      <w:r w:rsidR="00A53A4D" w:rsidRPr="00406970">
        <w:rPr>
          <w:rFonts w:ascii="Times New Roman" w:hAnsi="Times New Roman"/>
          <w:sz w:val="27"/>
          <w:szCs w:val="27"/>
        </w:rPr>
        <w:t>ы</w:t>
      </w:r>
      <w:r w:rsidR="00624CA5" w:rsidRPr="00406970">
        <w:rPr>
          <w:rFonts w:ascii="Times New Roman" w:hAnsi="Times New Roman"/>
          <w:sz w:val="27"/>
          <w:szCs w:val="27"/>
        </w:rPr>
        <w:t xml:space="preserve"> бюджета на 3,8 процента. </w:t>
      </w:r>
    </w:p>
    <w:p w:rsidR="006253E6" w:rsidRPr="00406970" w:rsidRDefault="006253E6" w:rsidP="006253E6">
      <w:pPr>
        <w:ind w:firstLine="54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lastRenderedPageBreak/>
        <w:t xml:space="preserve">Реализация программ в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Елизовском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районе основана на принципах межведомственного, межотраслевого взаимодействия и комплексного подхода к решению наиболее важных задач, относящихся к компетенции органов Администрации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района, и направлена на достижение конкретных стратегических целей социально-экономического развития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района.</w:t>
      </w:r>
    </w:p>
    <w:p w:rsidR="006253E6" w:rsidRPr="00406970" w:rsidRDefault="006253E6" w:rsidP="006253E6">
      <w:pPr>
        <w:pStyle w:val="ConsPlusNormal"/>
        <w:ind w:firstLine="540"/>
        <w:rPr>
          <w:sz w:val="27"/>
          <w:szCs w:val="27"/>
        </w:rPr>
      </w:pPr>
      <w:r w:rsidRPr="00406970">
        <w:rPr>
          <w:sz w:val="27"/>
          <w:szCs w:val="27"/>
        </w:rPr>
        <w:t xml:space="preserve">Переход к программному бюджету требует от Администрации </w:t>
      </w:r>
      <w:proofErr w:type="spellStart"/>
      <w:r w:rsidRPr="00406970">
        <w:rPr>
          <w:sz w:val="27"/>
          <w:szCs w:val="27"/>
        </w:rPr>
        <w:t>Елизовского</w:t>
      </w:r>
      <w:proofErr w:type="spellEnd"/>
      <w:r w:rsidRPr="00406970">
        <w:rPr>
          <w:sz w:val="27"/>
          <w:szCs w:val="27"/>
        </w:rPr>
        <w:t xml:space="preserve"> муниципального района смещения акцента с контроля над финансовыми потоками к контролю за результатами использования средств. При этом контроль осуществляется на всех этапах реализации муниципальных программ - при разработке, в процессе реализации, при мониторинге, экспертизе, оценке результативности.</w:t>
      </w:r>
    </w:p>
    <w:p w:rsidR="006253E6" w:rsidRPr="00406970" w:rsidRDefault="006253E6" w:rsidP="008C3653">
      <w:pPr>
        <w:ind w:firstLine="54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Администрацией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в целях повышения эффективности реализации долгосрочных муниципальных </w:t>
      </w:r>
      <w:proofErr w:type="gramStart"/>
      <w:r w:rsidRPr="00406970">
        <w:rPr>
          <w:rFonts w:ascii="Times New Roman" w:hAnsi="Times New Roman"/>
          <w:sz w:val="27"/>
          <w:szCs w:val="27"/>
        </w:rPr>
        <w:t>программ  в</w:t>
      </w:r>
      <w:proofErr w:type="gramEnd"/>
      <w:r w:rsidRPr="00406970">
        <w:rPr>
          <w:rFonts w:ascii="Times New Roman" w:hAnsi="Times New Roman"/>
          <w:sz w:val="27"/>
          <w:szCs w:val="27"/>
        </w:rPr>
        <w:t xml:space="preserve"> 2013 году утвержден</w:t>
      </w:r>
      <w:r w:rsidRPr="00406970">
        <w:rPr>
          <w:rFonts w:ascii="Times New Roman" w:hAnsi="Times New Roman"/>
          <w:bCs/>
          <w:sz w:val="27"/>
          <w:szCs w:val="27"/>
        </w:rPr>
        <w:t xml:space="preserve"> Порядок разработки и реализации муниципальных программ </w:t>
      </w:r>
      <w:proofErr w:type="spellStart"/>
      <w:r w:rsidRPr="00406970">
        <w:rPr>
          <w:rFonts w:ascii="Times New Roman" w:hAnsi="Times New Roman"/>
          <w:bCs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bCs/>
          <w:sz w:val="27"/>
          <w:szCs w:val="27"/>
        </w:rPr>
        <w:t xml:space="preserve"> муниципального района, в соответствии с которым</w:t>
      </w:r>
      <w:r w:rsidRPr="00406970">
        <w:rPr>
          <w:rFonts w:ascii="Times New Roman" w:hAnsi="Times New Roman"/>
          <w:sz w:val="27"/>
          <w:szCs w:val="27"/>
        </w:rPr>
        <w:t xml:space="preserve"> все процедуры реализации муниципальных  четко регламентированы и включают в себя:</w:t>
      </w:r>
    </w:p>
    <w:p w:rsidR="006253E6" w:rsidRPr="00406970" w:rsidRDefault="006253E6" w:rsidP="008C3653">
      <w:pPr>
        <w:ind w:firstLine="539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1) разработку концепции программы, её </w:t>
      </w:r>
      <w:proofErr w:type="gramStart"/>
      <w:r w:rsidRPr="00406970">
        <w:rPr>
          <w:rFonts w:ascii="Times New Roman" w:hAnsi="Times New Roman"/>
          <w:sz w:val="27"/>
          <w:szCs w:val="27"/>
        </w:rPr>
        <w:t>экспертизу  и</w:t>
      </w:r>
      <w:proofErr w:type="gramEnd"/>
      <w:r w:rsidRPr="00406970">
        <w:rPr>
          <w:rFonts w:ascii="Times New Roman" w:hAnsi="Times New Roman"/>
          <w:sz w:val="27"/>
          <w:szCs w:val="27"/>
        </w:rPr>
        <w:t xml:space="preserve"> согласование;</w:t>
      </w:r>
    </w:p>
    <w:p w:rsidR="006253E6" w:rsidRPr="00406970" w:rsidRDefault="006253E6" w:rsidP="008C365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2) разработку проекта программы;</w:t>
      </w:r>
    </w:p>
    <w:p w:rsidR="006253E6" w:rsidRPr="00406970" w:rsidRDefault="006253E6" w:rsidP="004F2218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3) рассмотрение проекта программы Комиссией; </w:t>
      </w:r>
    </w:p>
    <w:p w:rsidR="006253E6" w:rsidRPr="00406970" w:rsidRDefault="006253E6" w:rsidP="004F2218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4) согласование проекта программы;</w:t>
      </w:r>
    </w:p>
    <w:p w:rsidR="006253E6" w:rsidRPr="00406970" w:rsidRDefault="006253E6" w:rsidP="004F2218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4) утверждение программы;</w:t>
      </w:r>
    </w:p>
    <w:p w:rsidR="006253E6" w:rsidRPr="00406970" w:rsidRDefault="006253E6" w:rsidP="004F2218">
      <w:pPr>
        <w:ind w:firstLine="539"/>
        <w:rPr>
          <w:rFonts w:ascii="Times New Roman" w:hAnsi="Times New Roman"/>
          <w:bCs/>
          <w:sz w:val="27"/>
          <w:szCs w:val="27"/>
        </w:rPr>
      </w:pPr>
      <w:r w:rsidRPr="00406970">
        <w:rPr>
          <w:rFonts w:ascii="Times New Roman" w:hAnsi="Times New Roman"/>
          <w:bCs/>
          <w:sz w:val="27"/>
          <w:szCs w:val="27"/>
        </w:rPr>
        <w:t>5) реализацию программы - исполнение мероприятий программы;</w:t>
      </w:r>
    </w:p>
    <w:p w:rsidR="006253E6" w:rsidRPr="00406970" w:rsidRDefault="006253E6" w:rsidP="004F2218">
      <w:pPr>
        <w:ind w:firstLine="539"/>
        <w:rPr>
          <w:rFonts w:ascii="Times New Roman" w:hAnsi="Times New Roman"/>
          <w:bCs/>
          <w:sz w:val="27"/>
          <w:szCs w:val="27"/>
        </w:rPr>
      </w:pPr>
      <w:r w:rsidRPr="00406970">
        <w:rPr>
          <w:rFonts w:ascii="Times New Roman" w:hAnsi="Times New Roman"/>
          <w:bCs/>
          <w:sz w:val="27"/>
          <w:szCs w:val="27"/>
        </w:rPr>
        <w:t>6) мониторинг реализации программы;</w:t>
      </w:r>
    </w:p>
    <w:p w:rsidR="006253E6" w:rsidRPr="00406970" w:rsidRDefault="006253E6" w:rsidP="004F2218">
      <w:pPr>
        <w:ind w:firstLine="539"/>
        <w:rPr>
          <w:rFonts w:ascii="Times New Roman" w:hAnsi="Times New Roman"/>
          <w:bCs/>
          <w:sz w:val="27"/>
          <w:szCs w:val="27"/>
        </w:rPr>
      </w:pPr>
      <w:r w:rsidRPr="00406970">
        <w:rPr>
          <w:rFonts w:ascii="Times New Roman" w:hAnsi="Times New Roman"/>
          <w:bCs/>
          <w:sz w:val="27"/>
          <w:szCs w:val="27"/>
        </w:rPr>
        <w:t>7) корректировку программы при возникновении обстоятельств, влияющих на процесс ее реализации.</w:t>
      </w:r>
    </w:p>
    <w:p w:rsidR="006253E6" w:rsidRPr="00406970" w:rsidRDefault="006253E6" w:rsidP="006253E6">
      <w:pPr>
        <w:ind w:firstLine="54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Ежемесячно в целях оперативного мониторинга Администрацией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при участии представителей Думы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и Контрольно-счетной палаты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собирается Комиссия по реализации целевых программ на территории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района. </w:t>
      </w:r>
      <w:r w:rsidR="00C10337" w:rsidRPr="00406970">
        <w:rPr>
          <w:rFonts w:ascii="Times New Roman" w:hAnsi="Times New Roman"/>
          <w:sz w:val="27"/>
          <w:szCs w:val="27"/>
        </w:rPr>
        <w:t>Проведено семь заседаний.</w:t>
      </w:r>
    </w:p>
    <w:p w:rsidR="006253E6" w:rsidRPr="00406970" w:rsidRDefault="006253E6" w:rsidP="006253E6">
      <w:pPr>
        <w:ind w:firstLine="54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В результате, своевременно отслеживается ход реализации программ, проблемные вопросы, возникающие в процессе исполнения программ, экономия бюджетных средств по результатам проведения конкурентных процедур, которая перераспределяется соответственно потребности в решении наиболее важных приоритетных вопросов местного значения.</w:t>
      </w:r>
    </w:p>
    <w:p w:rsidR="006253E6" w:rsidRPr="00406970" w:rsidRDefault="006253E6" w:rsidP="006253E6">
      <w:pPr>
        <w:ind w:firstLine="54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Так, по программе «Развитие образования в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Елизовском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муниципальном районе на 2014-2018 годы» мероприятия по подготовке образовательных учреждений к началу учебного года разделены на планы по очередности (I, II, и III очереди). При возникновении экономии внутри программы или по мероприятиям других программ, денежные средства перераспределяются для решения первоочередных задач, в данном случае на ремонт образовательных учреждений для своевременного открытия их к началу учебного года и качественного обеспечения образовательного процесса.</w:t>
      </w:r>
      <w:r w:rsidR="00892157" w:rsidRPr="00406970">
        <w:rPr>
          <w:rFonts w:ascii="Times New Roman" w:hAnsi="Times New Roman"/>
          <w:sz w:val="27"/>
          <w:szCs w:val="27"/>
        </w:rPr>
        <w:t xml:space="preserve"> За 8 месяцев 2016 года сумма перераспределенной на эти цели экономии составила </w:t>
      </w:r>
      <w:r w:rsidR="003E1573" w:rsidRPr="00406970">
        <w:rPr>
          <w:rFonts w:ascii="Times New Roman" w:hAnsi="Times New Roman"/>
          <w:sz w:val="27"/>
          <w:szCs w:val="27"/>
        </w:rPr>
        <w:t>2</w:t>
      </w:r>
      <w:r w:rsidR="00B63C59" w:rsidRPr="00406970">
        <w:rPr>
          <w:rFonts w:ascii="Times New Roman" w:hAnsi="Times New Roman"/>
          <w:sz w:val="27"/>
          <w:szCs w:val="27"/>
        </w:rPr>
        <w:t>1</w:t>
      </w:r>
      <w:r w:rsidR="003E1573" w:rsidRPr="00406970">
        <w:rPr>
          <w:rFonts w:ascii="Times New Roman" w:hAnsi="Times New Roman"/>
          <w:sz w:val="27"/>
          <w:szCs w:val="27"/>
        </w:rPr>
        <w:t>,</w:t>
      </w:r>
      <w:r w:rsidR="00B63C59" w:rsidRPr="00406970">
        <w:rPr>
          <w:rFonts w:ascii="Times New Roman" w:hAnsi="Times New Roman"/>
          <w:sz w:val="27"/>
          <w:szCs w:val="27"/>
        </w:rPr>
        <w:t>4</w:t>
      </w:r>
      <w:r w:rsidR="00892157" w:rsidRPr="00406970">
        <w:rPr>
          <w:rFonts w:ascii="Times New Roman" w:hAnsi="Times New Roman"/>
          <w:sz w:val="27"/>
          <w:szCs w:val="27"/>
        </w:rPr>
        <w:t xml:space="preserve"> млн. рублей.</w:t>
      </w:r>
    </w:p>
    <w:p w:rsidR="006253E6" w:rsidRPr="00406970" w:rsidRDefault="006253E6" w:rsidP="006253E6">
      <w:pPr>
        <w:ind w:firstLine="54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lastRenderedPageBreak/>
        <w:t xml:space="preserve">Большую помощь в подготовке к 1 сентября образовательных учреждений оказало </w:t>
      </w:r>
      <w:r w:rsidR="00784D0C" w:rsidRPr="00406970">
        <w:rPr>
          <w:rFonts w:ascii="Times New Roman" w:hAnsi="Times New Roman"/>
          <w:sz w:val="27"/>
          <w:szCs w:val="27"/>
        </w:rPr>
        <w:t xml:space="preserve">Правительство Камчатского края.  В </w:t>
      </w:r>
      <w:proofErr w:type="gramStart"/>
      <w:r w:rsidR="00784D0C" w:rsidRPr="00406970">
        <w:rPr>
          <w:rFonts w:ascii="Times New Roman" w:hAnsi="Times New Roman"/>
          <w:sz w:val="27"/>
          <w:szCs w:val="27"/>
        </w:rPr>
        <w:t xml:space="preserve">частности,  </w:t>
      </w:r>
      <w:r w:rsidRPr="00406970">
        <w:rPr>
          <w:rFonts w:ascii="Times New Roman" w:hAnsi="Times New Roman"/>
          <w:sz w:val="27"/>
          <w:szCs w:val="27"/>
        </w:rPr>
        <w:t>Министерство</w:t>
      </w:r>
      <w:proofErr w:type="gramEnd"/>
      <w:r w:rsidRPr="00406970">
        <w:rPr>
          <w:rFonts w:ascii="Times New Roman" w:hAnsi="Times New Roman"/>
          <w:sz w:val="27"/>
          <w:szCs w:val="27"/>
        </w:rPr>
        <w:t xml:space="preserve"> </w:t>
      </w:r>
      <w:r w:rsidR="00784D0C" w:rsidRPr="00406970">
        <w:rPr>
          <w:rFonts w:ascii="Times New Roman" w:hAnsi="Times New Roman"/>
          <w:sz w:val="27"/>
          <w:szCs w:val="27"/>
        </w:rPr>
        <w:t>Финансов согласовало Министерств</w:t>
      </w:r>
      <w:r w:rsidR="00892157" w:rsidRPr="00406970">
        <w:rPr>
          <w:rFonts w:ascii="Times New Roman" w:hAnsi="Times New Roman"/>
          <w:sz w:val="27"/>
          <w:szCs w:val="27"/>
        </w:rPr>
        <w:t>у</w:t>
      </w:r>
      <w:r w:rsidR="00784D0C" w:rsidRPr="00406970">
        <w:rPr>
          <w:rFonts w:ascii="Times New Roman" w:hAnsi="Times New Roman"/>
          <w:sz w:val="27"/>
          <w:szCs w:val="27"/>
        </w:rPr>
        <w:t xml:space="preserve"> образования и науки</w:t>
      </w:r>
      <w:r w:rsidRPr="00406970">
        <w:rPr>
          <w:rFonts w:ascii="Times New Roman" w:hAnsi="Times New Roman"/>
          <w:sz w:val="27"/>
          <w:szCs w:val="27"/>
        </w:rPr>
        <w:t xml:space="preserve"> перераспредел</w:t>
      </w:r>
      <w:r w:rsidR="00784D0C" w:rsidRPr="00406970">
        <w:rPr>
          <w:rFonts w:ascii="Times New Roman" w:hAnsi="Times New Roman"/>
          <w:sz w:val="27"/>
          <w:szCs w:val="27"/>
        </w:rPr>
        <w:t>ение</w:t>
      </w:r>
      <w:r w:rsidRPr="0040697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Елизовскому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 муниципальному району субсиди</w:t>
      </w:r>
      <w:r w:rsidR="00784D0C" w:rsidRPr="00406970">
        <w:rPr>
          <w:rFonts w:ascii="Times New Roman" w:hAnsi="Times New Roman"/>
          <w:sz w:val="27"/>
          <w:szCs w:val="27"/>
        </w:rPr>
        <w:t>и</w:t>
      </w:r>
      <w:r w:rsidRPr="00406970">
        <w:rPr>
          <w:rFonts w:ascii="Times New Roman" w:hAnsi="Times New Roman"/>
          <w:sz w:val="27"/>
          <w:szCs w:val="27"/>
        </w:rPr>
        <w:t xml:space="preserve"> на возмещение затрат на проведение текущего и капитального ремонта зданий общеобразовательных организаций, ликвидацию проблемы отсутствия санитарно-гигиенических помещений в школьных зданиях в сумме 31,2 млн. рублей. </w:t>
      </w:r>
    </w:p>
    <w:p w:rsidR="006253E6" w:rsidRPr="00406970" w:rsidRDefault="006253E6" w:rsidP="006253E6">
      <w:pPr>
        <w:ind w:firstLine="540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Одной из самых острых проблем является объем средств для </w:t>
      </w:r>
      <w:proofErr w:type="spellStart"/>
      <w:r w:rsidRPr="00406970">
        <w:rPr>
          <w:rFonts w:ascii="Times New Roman" w:hAnsi="Times New Roman"/>
          <w:sz w:val="27"/>
          <w:szCs w:val="27"/>
        </w:rPr>
        <w:t>софинансировния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краевым программам поселений. Для развития своих территорий, поселения стремятся участвовать в большинстве краевых программ с необходимостью </w:t>
      </w:r>
      <w:proofErr w:type="spellStart"/>
      <w:r w:rsidRPr="00406970">
        <w:rPr>
          <w:rFonts w:ascii="Times New Roman" w:hAnsi="Times New Roman"/>
          <w:sz w:val="27"/>
          <w:szCs w:val="27"/>
        </w:rPr>
        <w:t>софинансирования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расходов. Доля расходов на реализацию программ в общей сумме расходов бюджетов поселений варьируется от 14% в </w:t>
      </w:r>
      <w:proofErr w:type="spellStart"/>
      <w:r w:rsidRPr="00406970">
        <w:rPr>
          <w:rFonts w:ascii="Times New Roman" w:hAnsi="Times New Roman"/>
          <w:sz w:val="27"/>
          <w:szCs w:val="27"/>
        </w:rPr>
        <w:t>Начикинском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поселении до 90% в </w:t>
      </w:r>
      <w:proofErr w:type="spellStart"/>
      <w:r w:rsidRPr="00406970">
        <w:rPr>
          <w:rFonts w:ascii="Times New Roman" w:hAnsi="Times New Roman"/>
          <w:sz w:val="27"/>
          <w:szCs w:val="27"/>
        </w:rPr>
        <w:t>Паратунском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поселении и составляет в среднем по поселениям более 40%.</w:t>
      </w:r>
    </w:p>
    <w:p w:rsidR="006253E6" w:rsidRPr="00406970" w:rsidRDefault="009D3A54" w:rsidP="006253E6">
      <w:pPr>
        <w:ind w:firstLine="708"/>
        <w:jc w:val="right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(</w:t>
      </w:r>
      <w:r w:rsidR="006253E6" w:rsidRPr="00406970">
        <w:rPr>
          <w:rFonts w:ascii="Times New Roman" w:hAnsi="Times New Roman"/>
          <w:sz w:val="27"/>
          <w:szCs w:val="27"/>
        </w:rPr>
        <w:t xml:space="preserve">в </w:t>
      </w:r>
      <w:proofErr w:type="spellStart"/>
      <w:r w:rsidR="006253E6" w:rsidRPr="00406970">
        <w:rPr>
          <w:rFonts w:ascii="Times New Roman" w:hAnsi="Times New Roman"/>
          <w:sz w:val="27"/>
          <w:szCs w:val="27"/>
        </w:rPr>
        <w:t>тыс.руб</w:t>
      </w:r>
      <w:proofErr w:type="spellEnd"/>
      <w:r w:rsidR="006253E6" w:rsidRPr="00406970">
        <w:rPr>
          <w:rFonts w:ascii="Times New Roman" w:hAnsi="Times New Roman"/>
          <w:sz w:val="27"/>
          <w:szCs w:val="27"/>
        </w:rPr>
        <w:t>.)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24"/>
        <w:gridCol w:w="1592"/>
        <w:gridCol w:w="28"/>
        <w:gridCol w:w="2519"/>
        <w:gridCol w:w="1989"/>
        <w:gridCol w:w="1701"/>
      </w:tblGrid>
      <w:tr w:rsidR="006253E6" w:rsidRPr="00406970" w:rsidTr="00406970">
        <w:trPr>
          <w:trHeight w:val="186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3E6" w:rsidRPr="00406970" w:rsidRDefault="006253E6" w:rsidP="0040697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E6" w:rsidRPr="00406970" w:rsidRDefault="006253E6" w:rsidP="0040697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sz w:val="27"/>
                <w:szCs w:val="27"/>
              </w:rPr>
              <w:t>Средства, предусмотренные в краевом бюджете на программы поселениям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E6" w:rsidRPr="00406970" w:rsidRDefault="006253E6" w:rsidP="0040697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sz w:val="27"/>
                <w:szCs w:val="27"/>
              </w:rPr>
              <w:t xml:space="preserve">Средства, предусмотренные в бюджете ЕМР на </w:t>
            </w:r>
            <w:proofErr w:type="spellStart"/>
            <w:r w:rsidRPr="00406970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406970">
              <w:rPr>
                <w:rFonts w:ascii="Times New Roman" w:hAnsi="Times New Roman"/>
                <w:sz w:val="27"/>
                <w:szCs w:val="27"/>
              </w:rPr>
              <w:t xml:space="preserve"> госпрограмм поселениями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E6" w:rsidRPr="00406970" w:rsidRDefault="006253E6" w:rsidP="0040697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sz w:val="27"/>
                <w:szCs w:val="27"/>
              </w:rPr>
              <w:t>Расходы бюджетов поселений (план)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0" w:rsidRDefault="006253E6" w:rsidP="0040697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sz w:val="27"/>
                <w:szCs w:val="27"/>
              </w:rPr>
              <w:t>Расходы</w:t>
            </w:r>
          </w:p>
          <w:p w:rsidR="006253E6" w:rsidRPr="00406970" w:rsidRDefault="006253E6" w:rsidP="00406970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sz w:val="27"/>
                <w:szCs w:val="27"/>
              </w:rPr>
              <w:t>на программы в общей сумме расходов (%)</w:t>
            </w:r>
          </w:p>
        </w:tc>
      </w:tr>
      <w:tr w:rsidR="006253E6" w:rsidRPr="00406970" w:rsidTr="00406970">
        <w:trPr>
          <w:trHeight w:val="34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3E6" w:rsidRPr="00406970" w:rsidRDefault="006253E6">
            <w:pP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Итого по поселениям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3E6" w:rsidRPr="00406970" w:rsidRDefault="006253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934 824,88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15 674,02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1 324 025,93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43,65</w:t>
            </w:r>
          </w:p>
        </w:tc>
      </w:tr>
      <w:tr w:rsidR="006253E6" w:rsidRPr="00406970" w:rsidTr="00406970">
        <w:trPr>
          <w:trHeight w:val="51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406970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Пионерское </w:t>
            </w: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77 528,14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1 034,75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131 543,86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60</w:t>
            </w:r>
          </w:p>
        </w:tc>
      </w:tr>
      <w:tr w:rsidR="006253E6" w:rsidRPr="00406970" w:rsidTr="00406970">
        <w:trPr>
          <w:trHeight w:val="51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406970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Вулканное</w:t>
            </w:r>
            <w:proofErr w:type="spellEnd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гп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6 921,58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166,70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34 105,10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21</w:t>
            </w:r>
          </w:p>
        </w:tc>
      </w:tr>
      <w:tr w:rsidR="006253E6" w:rsidRPr="00406970" w:rsidTr="00406970">
        <w:trPr>
          <w:trHeight w:val="51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406970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Корякское </w:t>
            </w: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20 864,19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1 942,63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71 902,53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32</w:t>
            </w:r>
          </w:p>
        </w:tc>
      </w:tr>
      <w:tr w:rsidR="006253E6" w:rsidRPr="00406970" w:rsidTr="00406970">
        <w:trPr>
          <w:trHeight w:val="51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406970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Паратунское</w:t>
            </w:r>
            <w:proofErr w:type="spellEnd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729 384,05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8 483,73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820 113,81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90</w:t>
            </w:r>
          </w:p>
        </w:tc>
      </w:tr>
      <w:tr w:rsidR="006253E6" w:rsidRPr="00406970" w:rsidTr="00406970">
        <w:trPr>
          <w:trHeight w:val="51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406970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Новолесновское</w:t>
            </w:r>
            <w:proofErr w:type="spellEnd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25 626,29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1 691,30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53 032,59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52</w:t>
            </w:r>
          </w:p>
        </w:tc>
      </w:tr>
      <w:tr w:rsidR="006253E6" w:rsidRPr="00406970" w:rsidTr="00406970">
        <w:trPr>
          <w:trHeight w:val="51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406970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Начикинское</w:t>
            </w:r>
            <w:proofErr w:type="spellEnd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5 001,44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102,07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35 354,08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14</w:t>
            </w:r>
          </w:p>
        </w:tc>
      </w:tr>
      <w:tr w:rsidR="006253E6" w:rsidRPr="00406970" w:rsidTr="00406970">
        <w:trPr>
          <w:trHeight w:val="51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406970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Раздольненское</w:t>
            </w:r>
            <w:proofErr w:type="spellEnd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26 755,19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837,18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48 340,49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57</w:t>
            </w:r>
          </w:p>
        </w:tc>
      </w:tr>
      <w:tr w:rsidR="006253E6" w:rsidRPr="00406970" w:rsidTr="00406970">
        <w:trPr>
          <w:trHeight w:val="51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406970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Николаевское </w:t>
            </w: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25 172,30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679,75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70 030,95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37</w:t>
            </w:r>
          </w:p>
        </w:tc>
      </w:tr>
      <w:tr w:rsidR="006253E6" w:rsidRPr="00406970" w:rsidTr="00406970">
        <w:trPr>
          <w:trHeight w:val="51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406970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Новоавачинское</w:t>
            </w:r>
            <w:proofErr w:type="spellEnd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17 571,70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735,90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color w:val="000000"/>
                <w:sz w:val="27"/>
                <w:szCs w:val="27"/>
              </w:rPr>
              <w:t>59 612,52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3E6" w:rsidRPr="00406970" w:rsidRDefault="006253E6" w:rsidP="00B91923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0697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31</w:t>
            </w:r>
          </w:p>
        </w:tc>
      </w:tr>
    </w:tbl>
    <w:p w:rsidR="006253E6" w:rsidRPr="00406970" w:rsidRDefault="006253E6" w:rsidP="006253E6">
      <w:pPr>
        <w:ind w:firstLine="708"/>
        <w:rPr>
          <w:rFonts w:ascii="Times New Roman" w:hAnsi="Times New Roman"/>
          <w:sz w:val="27"/>
          <w:szCs w:val="27"/>
        </w:rPr>
      </w:pPr>
    </w:p>
    <w:p w:rsidR="006253E6" w:rsidRPr="00406970" w:rsidRDefault="006253E6" w:rsidP="006253E6">
      <w:pPr>
        <w:ind w:firstLine="708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lastRenderedPageBreak/>
        <w:t xml:space="preserve">Как правило, нужного объема средств в бюджетах поселений нет. Они искусственно завышают свою доходную часть бюджета, принимают расходные обязательства по </w:t>
      </w:r>
      <w:proofErr w:type="spellStart"/>
      <w:r w:rsidRPr="00406970">
        <w:rPr>
          <w:rFonts w:ascii="Times New Roman" w:hAnsi="Times New Roman"/>
          <w:sz w:val="27"/>
          <w:szCs w:val="27"/>
        </w:rPr>
        <w:t>софинансированию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краевых программ.  Финансируя данные расходы в ущерб другим первоочередным расходам (начисления на фонд оплаты труда, уплата налога на доходы физических лиц, оплата коммунальных услуг), в поселениях возникает, и год от года растет кредиторская задолженность. В том числе и перед пенсионным фондом</w:t>
      </w:r>
      <w:r w:rsidR="00E15E9F" w:rsidRPr="00406970">
        <w:rPr>
          <w:rFonts w:ascii="Times New Roman" w:hAnsi="Times New Roman"/>
          <w:sz w:val="27"/>
          <w:szCs w:val="27"/>
        </w:rPr>
        <w:t>.</w:t>
      </w:r>
    </w:p>
    <w:p w:rsidR="00624CA5" w:rsidRPr="00406970" w:rsidRDefault="006253E6" w:rsidP="00DD0028">
      <w:pPr>
        <w:ind w:firstLine="708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Принимая во внимание тяжелое финансовое положение поселений, Администрация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муниципального района при формировании бюджета на 2016 год приняла решение о формировании фонда для обеспечения </w:t>
      </w:r>
      <w:proofErr w:type="spellStart"/>
      <w:r w:rsidRPr="00406970">
        <w:rPr>
          <w:rFonts w:ascii="Times New Roman" w:hAnsi="Times New Roman"/>
          <w:sz w:val="27"/>
          <w:szCs w:val="27"/>
        </w:rPr>
        <w:t>софинансирования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поселениями мероприятий государственных программ Камчатского края. Таким образом, </w:t>
      </w:r>
      <w:r w:rsidR="00A941F4" w:rsidRPr="00406970">
        <w:rPr>
          <w:rFonts w:ascii="Times New Roman" w:hAnsi="Times New Roman"/>
          <w:sz w:val="27"/>
          <w:szCs w:val="27"/>
        </w:rPr>
        <w:t xml:space="preserve">в 2016 году поселениям выделены </w:t>
      </w:r>
      <w:r w:rsidRPr="00406970">
        <w:rPr>
          <w:rFonts w:ascii="Times New Roman" w:hAnsi="Times New Roman"/>
          <w:sz w:val="27"/>
          <w:szCs w:val="27"/>
        </w:rPr>
        <w:t xml:space="preserve">ассигнования для обеспечения обязательного </w:t>
      </w:r>
      <w:proofErr w:type="gramStart"/>
      <w:r w:rsidRPr="00406970">
        <w:rPr>
          <w:rFonts w:ascii="Times New Roman" w:hAnsi="Times New Roman"/>
          <w:sz w:val="27"/>
          <w:szCs w:val="27"/>
        </w:rPr>
        <w:t xml:space="preserve">процента  </w:t>
      </w:r>
      <w:proofErr w:type="spellStart"/>
      <w:r w:rsidRPr="00406970">
        <w:rPr>
          <w:rFonts w:ascii="Times New Roman" w:hAnsi="Times New Roman"/>
          <w:sz w:val="27"/>
          <w:szCs w:val="27"/>
        </w:rPr>
        <w:t>софинансирования</w:t>
      </w:r>
      <w:proofErr w:type="spellEnd"/>
      <w:proofErr w:type="gramEnd"/>
      <w:r w:rsidRPr="00406970">
        <w:rPr>
          <w:rFonts w:ascii="Times New Roman" w:hAnsi="Times New Roman"/>
          <w:sz w:val="27"/>
          <w:szCs w:val="27"/>
        </w:rPr>
        <w:t xml:space="preserve"> краевым программам </w:t>
      </w:r>
      <w:r w:rsidR="00EE34BD" w:rsidRPr="00406970">
        <w:rPr>
          <w:rFonts w:ascii="Times New Roman" w:hAnsi="Times New Roman"/>
          <w:sz w:val="27"/>
          <w:szCs w:val="27"/>
        </w:rPr>
        <w:t>в сумме 15,</w:t>
      </w:r>
      <w:r w:rsidR="00A941F4" w:rsidRPr="00406970">
        <w:rPr>
          <w:rFonts w:ascii="Times New Roman" w:hAnsi="Times New Roman"/>
          <w:sz w:val="27"/>
          <w:szCs w:val="27"/>
        </w:rPr>
        <w:t>7 млн. рублей в полном объеме</w:t>
      </w:r>
      <w:r w:rsidRPr="00406970">
        <w:rPr>
          <w:rFonts w:ascii="Times New Roman" w:hAnsi="Times New Roman"/>
          <w:sz w:val="27"/>
          <w:szCs w:val="27"/>
        </w:rPr>
        <w:t xml:space="preserve">. Аналогичное </w:t>
      </w:r>
      <w:proofErr w:type="spellStart"/>
      <w:r w:rsidRPr="00406970">
        <w:rPr>
          <w:rFonts w:ascii="Times New Roman" w:hAnsi="Times New Roman"/>
          <w:sz w:val="27"/>
          <w:szCs w:val="27"/>
        </w:rPr>
        <w:t>софинансирование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было предусмотрено и обеспечено Администрацией </w:t>
      </w:r>
      <w:proofErr w:type="spellStart"/>
      <w:r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муниципальног</w:t>
      </w:r>
      <w:r w:rsidR="00EE34BD" w:rsidRPr="00406970">
        <w:rPr>
          <w:rFonts w:ascii="Times New Roman" w:hAnsi="Times New Roman"/>
          <w:sz w:val="27"/>
          <w:szCs w:val="27"/>
        </w:rPr>
        <w:t>о района в 2015 году в сумме 11,</w:t>
      </w:r>
      <w:proofErr w:type="gramStart"/>
      <w:r w:rsidR="00E56EED" w:rsidRPr="00406970">
        <w:rPr>
          <w:rFonts w:ascii="Times New Roman" w:hAnsi="Times New Roman"/>
          <w:sz w:val="27"/>
          <w:szCs w:val="27"/>
        </w:rPr>
        <w:t>1  млн.</w:t>
      </w:r>
      <w:proofErr w:type="gramEnd"/>
      <w:r w:rsidR="00E56EED" w:rsidRPr="00406970">
        <w:rPr>
          <w:rFonts w:ascii="Times New Roman" w:hAnsi="Times New Roman"/>
          <w:sz w:val="27"/>
          <w:szCs w:val="27"/>
        </w:rPr>
        <w:t xml:space="preserve"> рублей в размере 100 % потребности в обязательном </w:t>
      </w:r>
      <w:proofErr w:type="spellStart"/>
      <w:r w:rsidR="00E56EED" w:rsidRPr="00406970">
        <w:rPr>
          <w:rFonts w:ascii="Times New Roman" w:hAnsi="Times New Roman"/>
          <w:sz w:val="27"/>
          <w:szCs w:val="27"/>
        </w:rPr>
        <w:t>софинансировании</w:t>
      </w:r>
      <w:proofErr w:type="spellEnd"/>
      <w:r w:rsidR="00E56EED" w:rsidRPr="00406970">
        <w:rPr>
          <w:rFonts w:ascii="Times New Roman" w:hAnsi="Times New Roman"/>
          <w:sz w:val="27"/>
          <w:szCs w:val="27"/>
        </w:rPr>
        <w:t>.</w:t>
      </w:r>
    </w:p>
    <w:p w:rsidR="0048768A" w:rsidRPr="00406970" w:rsidRDefault="00616EC6" w:rsidP="00DD0028">
      <w:pPr>
        <w:ind w:firstLine="708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Проведя анализ доходной части бюджетов </w:t>
      </w:r>
      <w:r w:rsidR="002B4B31" w:rsidRPr="00406970">
        <w:rPr>
          <w:rFonts w:ascii="Times New Roman" w:hAnsi="Times New Roman"/>
          <w:sz w:val="27"/>
          <w:szCs w:val="27"/>
        </w:rPr>
        <w:t xml:space="preserve">района и </w:t>
      </w:r>
      <w:r w:rsidRPr="00406970">
        <w:rPr>
          <w:rFonts w:ascii="Times New Roman" w:hAnsi="Times New Roman"/>
          <w:sz w:val="27"/>
          <w:szCs w:val="27"/>
        </w:rPr>
        <w:t xml:space="preserve">поселений за ряд лет, можно сделать вывод, что </w:t>
      </w:r>
      <w:r w:rsidR="002B4B31" w:rsidRPr="00406970">
        <w:rPr>
          <w:rFonts w:ascii="Times New Roman" w:hAnsi="Times New Roman"/>
          <w:sz w:val="27"/>
          <w:szCs w:val="27"/>
        </w:rPr>
        <w:t xml:space="preserve">все они, кроме </w:t>
      </w:r>
      <w:proofErr w:type="spellStart"/>
      <w:r w:rsidR="002B4B31" w:rsidRPr="00406970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="002B4B31" w:rsidRPr="00406970">
        <w:rPr>
          <w:rFonts w:ascii="Times New Roman" w:hAnsi="Times New Roman"/>
          <w:sz w:val="27"/>
          <w:szCs w:val="27"/>
        </w:rPr>
        <w:t xml:space="preserve"> городского поселения,</w:t>
      </w:r>
      <w:r w:rsidRPr="00406970">
        <w:rPr>
          <w:rFonts w:ascii="Times New Roman" w:hAnsi="Times New Roman"/>
          <w:sz w:val="27"/>
          <w:szCs w:val="27"/>
        </w:rPr>
        <w:t xml:space="preserve"> являются высокодотационными. Доля межбюджетных трансфертов из бюджетов вышестоящих уровней в общей сумме доходов поселений составляет от 61,3 до 89,4 процентов. </w:t>
      </w:r>
    </w:p>
    <w:p w:rsidR="002900B6" w:rsidRPr="00406970" w:rsidRDefault="006C77A4" w:rsidP="00DD0028">
      <w:pPr>
        <w:ind w:firstLine="708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Не</w:t>
      </w:r>
      <w:r w:rsidR="002900B6" w:rsidRPr="00406970">
        <w:rPr>
          <w:rFonts w:ascii="Times New Roman" w:hAnsi="Times New Roman"/>
          <w:sz w:val="27"/>
          <w:szCs w:val="27"/>
        </w:rPr>
        <w:t xml:space="preserve">смотря на то, что районный бюджет ежегодно увеличивает объем межбюджетных трансфертов, предоставляемых поселениям как в виде </w:t>
      </w:r>
      <w:proofErr w:type="spellStart"/>
      <w:r w:rsidR="002900B6" w:rsidRPr="00406970">
        <w:rPr>
          <w:rFonts w:ascii="Times New Roman" w:hAnsi="Times New Roman"/>
          <w:sz w:val="27"/>
          <w:szCs w:val="27"/>
        </w:rPr>
        <w:t>бесцелевой</w:t>
      </w:r>
      <w:proofErr w:type="spellEnd"/>
      <w:r w:rsidR="002900B6" w:rsidRPr="00406970">
        <w:rPr>
          <w:rFonts w:ascii="Times New Roman" w:hAnsi="Times New Roman"/>
          <w:sz w:val="27"/>
          <w:szCs w:val="27"/>
        </w:rPr>
        <w:t xml:space="preserve"> финансовой помощи, так и в виде </w:t>
      </w:r>
      <w:proofErr w:type="spellStart"/>
      <w:r w:rsidR="002900B6" w:rsidRPr="00406970">
        <w:rPr>
          <w:rFonts w:ascii="Times New Roman" w:hAnsi="Times New Roman"/>
          <w:sz w:val="27"/>
          <w:szCs w:val="27"/>
        </w:rPr>
        <w:t>софинансирования</w:t>
      </w:r>
      <w:proofErr w:type="spellEnd"/>
      <w:r w:rsidR="002900B6" w:rsidRPr="00406970">
        <w:rPr>
          <w:rFonts w:ascii="Times New Roman" w:hAnsi="Times New Roman"/>
          <w:sz w:val="27"/>
          <w:szCs w:val="27"/>
        </w:rPr>
        <w:t xml:space="preserve"> конкретных расходных обязательств поселений, по состоянию на </w:t>
      </w:r>
      <w:r w:rsidR="008405CA" w:rsidRPr="00406970">
        <w:rPr>
          <w:rFonts w:ascii="Times New Roman" w:hAnsi="Times New Roman"/>
          <w:sz w:val="27"/>
          <w:szCs w:val="27"/>
        </w:rPr>
        <w:t>19</w:t>
      </w:r>
      <w:r w:rsidR="002900B6" w:rsidRPr="00406970">
        <w:rPr>
          <w:rFonts w:ascii="Times New Roman" w:hAnsi="Times New Roman"/>
          <w:sz w:val="27"/>
          <w:szCs w:val="27"/>
        </w:rPr>
        <w:t>.0</w:t>
      </w:r>
      <w:r w:rsidR="008405CA" w:rsidRPr="00406970">
        <w:rPr>
          <w:rFonts w:ascii="Times New Roman" w:hAnsi="Times New Roman"/>
          <w:sz w:val="27"/>
          <w:szCs w:val="27"/>
        </w:rPr>
        <w:t>8</w:t>
      </w:r>
      <w:r w:rsidR="002900B6" w:rsidRPr="00406970">
        <w:rPr>
          <w:rFonts w:ascii="Times New Roman" w:hAnsi="Times New Roman"/>
          <w:sz w:val="27"/>
          <w:szCs w:val="27"/>
        </w:rPr>
        <w:t xml:space="preserve">.2016 года у </w:t>
      </w:r>
      <w:r w:rsidR="00D81738" w:rsidRPr="00406970">
        <w:rPr>
          <w:rFonts w:ascii="Times New Roman" w:hAnsi="Times New Roman"/>
          <w:sz w:val="27"/>
          <w:szCs w:val="27"/>
        </w:rPr>
        <w:t xml:space="preserve">отдельных </w:t>
      </w:r>
      <w:r w:rsidR="002900B6" w:rsidRPr="00406970">
        <w:rPr>
          <w:rFonts w:ascii="Times New Roman" w:hAnsi="Times New Roman"/>
          <w:sz w:val="27"/>
          <w:szCs w:val="27"/>
        </w:rPr>
        <w:t>поселений сложилась большая задолженность по налогу на доходы физических лиц, по н</w:t>
      </w:r>
      <w:r w:rsidR="006A1C9F" w:rsidRPr="00406970">
        <w:rPr>
          <w:rFonts w:ascii="Times New Roman" w:hAnsi="Times New Roman"/>
          <w:sz w:val="27"/>
          <w:szCs w:val="27"/>
        </w:rPr>
        <w:t>ачислениям на фонд оплаты труда</w:t>
      </w:r>
      <w:r w:rsidR="00AA433D" w:rsidRPr="00406970">
        <w:rPr>
          <w:rFonts w:ascii="Times New Roman" w:hAnsi="Times New Roman"/>
          <w:sz w:val="27"/>
          <w:szCs w:val="27"/>
        </w:rPr>
        <w:t xml:space="preserve"> в сумме </w:t>
      </w:r>
      <w:r w:rsidR="008405CA" w:rsidRPr="00406970">
        <w:rPr>
          <w:rFonts w:ascii="Times New Roman" w:hAnsi="Times New Roman"/>
          <w:sz w:val="27"/>
          <w:szCs w:val="27"/>
        </w:rPr>
        <w:t>18 296,0</w:t>
      </w:r>
      <w:r w:rsidR="009111B3" w:rsidRPr="00406970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9111B3" w:rsidRPr="00406970" w:rsidRDefault="009111B3" w:rsidP="00DD0028">
      <w:pPr>
        <w:ind w:firstLine="708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>- Корякское сельское поселение – 5</w:t>
      </w:r>
      <w:r w:rsidR="008405CA" w:rsidRPr="00406970">
        <w:rPr>
          <w:rFonts w:ascii="Times New Roman" w:hAnsi="Times New Roman"/>
          <w:sz w:val="27"/>
          <w:szCs w:val="27"/>
        </w:rPr>
        <w:t> 686,9</w:t>
      </w:r>
      <w:r w:rsidRPr="00406970">
        <w:rPr>
          <w:rFonts w:ascii="Times New Roman" w:hAnsi="Times New Roman"/>
          <w:sz w:val="27"/>
          <w:szCs w:val="27"/>
        </w:rPr>
        <w:t xml:space="preserve"> тыс. рублей;</w:t>
      </w:r>
    </w:p>
    <w:p w:rsidR="009111B3" w:rsidRPr="00406970" w:rsidRDefault="009111B3" w:rsidP="00DD0028">
      <w:pPr>
        <w:ind w:firstLine="708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- Николаевское сельское поселение – </w:t>
      </w:r>
      <w:r w:rsidR="008405CA" w:rsidRPr="00406970">
        <w:rPr>
          <w:rFonts w:ascii="Times New Roman" w:hAnsi="Times New Roman"/>
          <w:sz w:val="27"/>
          <w:szCs w:val="27"/>
        </w:rPr>
        <w:t>5 976,8</w:t>
      </w:r>
      <w:r w:rsidRPr="00406970">
        <w:rPr>
          <w:rFonts w:ascii="Times New Roman" w:hAnsi="Times New Roman"/>
          <w:sz w:val="27"/>
          <w:szCs w:val="27"/>
        </w:rPr>
        <w:t xml:space="preserve"> тыс. рублей;</w:t>
      </w:r>
    </w:p>
    <w:p w:rsidR="009111B3" w:rsidRPr="00406970" w:rsidRDefault="009111B3" w:rsidP="00DD0028">
      <w:pPr>
        <w:ind w:firstLine="708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406970">
        <w:rPr>
          <w:rFonts w:ascii="Times New Roman" w:hAnsi="Times New Roman"/>
          <w:sz w:val="27"/>
          <w:szCs w:val="27"/>
        </w:rPr>
        <w:t>Паратунское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сельское поселение – 4 006,7 тыс. рублей;</w:t>
      </w:r>
    </w:p>
    <w:p w:rsidR="009111B3" w:rsidRPr="00406970" w:rsidRDefault="00B07E89" w:rsidP="00DD0028">
      <w:pPr>
        <w:ind w:firstLine="708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- Пионерское сельское поселение – </w:t>
      </w:r>
      <w:r w:rsidR="008405CA" w:rsidRPr="00406970">
        <w:rPr>
          <w:rFonts w:ascii="Times New Roman" w:hAnsi="Times New Roman"/>
          <w:sz w:val="27"/>
          <w:szCs w:val="27"/>
        </w:rPr>
        <w:t>279,4</w:t>
      </w:r>
      <w:r w:rsidRPr="00406970">
        <w:rPr>
          <w:rFonts w:ascii="Times New Roman" w:hAnsi="Times New Roman"/>
          <w:sz w:val="27"/>
          <w:szCs w:val="27"/>
        </w:rPr>
        <w:t xml:space="preserve"> тыс. рублей;</w:t>
      </w:r>
    </w:p>
    <w:p w:rsidR="00B07E89" w:rsidRPr="00406970" w:rsidRDefault="00B07E89" w:rsidP="00DD0028">
      <w:pPr>
        <w:ind w:firstLine="708"/>
        <w:rPr>
          <w:rFonts w:ascii="Times New Roman" w:hAnsi="Times New Roman"/>
          <w:sz w:val="27"/>
          <w:szCs w:val="27"/>
        </w:rPr>
      </w:pPr>
      <w:r w:rsidRPr="00406970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406970">
        <w:rPr>
          <w:rFonts w:ascii="Times New Roman" w:hAnsi="Times New Roman"/>
          <w:sz w:val="27"/>
          <w:szCs w:val="27"/>
        </w:rPr>
        <w:t>Раздольненское</w:t>
      </w:r>
      <w:proofErr w:type="spellEnd"/>
      <w:r w:rsidRPr="00406970">
        <w:rPr>
          <w:rFonts w:ascii="Times New Roman" w:hAnsi="Times New Roman"/>
          <w:sz w:val="27"/>
          <w:szCs w:val="27"/>
        </w:rPr>
        <w:t xml:space="preserve"> сельское поселение – </w:t>
      </w:r>
      <w:r w:rsidR="008405CA" w:rsidRPr="00406970">
        <w:rPr>
          <w:rFonts w:ascii="Times New Roman" w:hAnsi="Times New Roman"/>
          <w:sz w:val="27"/>
          <w:szCs w:val="27"/>
        </w:rPr>
        <w:t>2 346,2</w:t>
      </w:r>
      <w:r w:rsidRPr="00406970">
        <w:rPr>
          <w:rFonts w:ascii="Times New Roman" w:hAnsi="Times New Roman"/>
          <w:sz w:val="27"/>
          <w:szCs w:val="27"/>
        </w:rPr>
        <w:t xml:space="preserve"> тыс. рублей.</w:t>
      </w:r>
    </w:p>
    <w:p w:rsidR="008405CA" w:rsidRPr="00406970" w:rsidRDefault="008405CA" w:rsidP="00DD0028">
      <w:pPr>
        <w:ind w:firstLine="708"/>
        <w:rPr>
          <w:rFonts w:ascii="Times New Roman" w:hAnsi="Times New Roman"/>
          <w:sz w:val="27"/>
          <w:szCs w:val="27"/>
        </w:rPr>
      </w:pPr>
    </w:p>
    <w:p w:rsidR="00B07E89" w:rsidRDefault="008405CA" w:rsidP="00DD0028">
      <w:pPr>
        <w:ind w:firstLine="708"/>
        <w:rPr>
          <w:rFonts w:ascii="Times New Roman" w:hAnsi="Times New Roman"/>
          <w:sz w:val="28"/>
          <w:szCs w:val="28"/>
        </w:rPr>
      </w:pPr>
      <w:r w:rsidRPr="00406970">
        <w:rPr>
          <w:rFonts w:ascii="Times New Roman" w:hAnsi="Times New Roman"/>
          <w:sz w:val="27"/>
          <w:szCs w:val="27"/>
        </w:rPr>
        <w:t xml:space="preserve">В </w:t>
      </w:r>
      <w:r w:rsidR="00992A24" w:rsidRPr="00406970">
        <w:rPr>
          <w:rFonts w:ascii="Times New Roman" w:hAnsi="Times New Roman"/>
          <w:sz w:val="27"/>
          <w:szCs w:val="27"/>
        </w:rPr>
        <w:t>ходе</w:t>
      </w:r>
      <w:r w:rsidRPr="00406970">
        <w:rPr>
          <w:rFonts w:ascii="Times New Roman" w:hAnsi="Times New Roman"/>
          <w:sz w:val="27"/>
          <w:szCs w:val="27"/>
        </w:rPr>
        <w:t xml:space="preserve"> работы</w:t>
      </w:r>
      <w:r w:rsidR="00992A24" w:rsidRPr="00406970">
        <w:rPr>
          <w:rFonts w:ascii="Times New Roman" w:hAnsi="Times New Roman"/>
          <w:sz w:val="27"/>
          <w:szCs w:val="27"/>
        </w:rPr>
        <w:t xml:space="preserve"> (проведено три совещания с данными поселениями, проводится еженедельный мониторинг состояния задолженности</w:t>
      </w:r>
      <w:r w:rsidR="00337B75" w:rsidRPr="00406970">
        <w:rPr>
          <w:rFonts w:ascii="Times New Roman" w:hAnsi="Times New Roman"/>
          <w:sz w:val="27"/>
          <w:szCs w:val="27"/>
        </w:rPr>
        <w:t>, приостановлено предоставление межбюджетных трансфертов (за исключением субвенций), предоставляемых из средств местного бюджета Корякскому сельскому поселению</w:t>
      </w:r>
      <w:r w:rsidR="00992A24" w:rsidRPr="00406970">
        <w:rPr>
          <w:rFonts w:ascii="Times New Roman" w:hAnsi="Times New Roman"/>
          <w:sz w:val="27"/>
          <w:szCs w:val="27"/>
        </w:rPr>
        <w:t>) задолженность по НДФЛ и страховым взносам за 1 квартал 2016 года погашена полностью. По состоянию на 1.09.2016 года кредито</w:t>
      </w:r>
      <w:bookmarkStart w:id="0" w:name="_GoBack"/>
      <w:bookmarkEnd w:id="0"/>
      <w:r w:rsidR="00992A24" w:rsidRPr="00406970">
        <w:rPr>
          <w:rFonts w:ascii="Times New Roman" w:hAnsi="Times New Roman"/>
          <w:sz w:val="27"/>
          <w:szCs w:val="27"/>
        </w:rPr>
        <w:t>рская задолженность составляет 17 556,02 тыс. рублей.</w:t>
      </w:r>
    </w:p>
    <w:sectPr w:rsidR="00B07E89" w:rsidSect="00406970">
      <w:pgSz w:w="11906" w:h="16838"/>
      <w:pgMar w:top="709" w:right="424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2D7"/>
    <w:rsid w:val="00056966"/>
    <w:rsid w:val="000A05A8"/>
    <w:rsid w:val="000B300C"/>
    <w:rsid w:val="000D61A2"/>
    <w:rsid w:val="001172CB"/>
    <w:rsid w:val="001D18CE"/>
    <w:rsid w:val="00213D82"/>
    <w:rsid w:val="002900B6"/>
    <w:rsid w:val="0029554A"/>
    <w:rsid w:val="002B4B31"/>
    <w:rsid w:val="002D32CA"/>
    <w:rsid w:val="002D3C0D"/>
    <w:rsid w:val="002F6C04"/>
    <w:rsid w:val="0032146E"/>
    <w:rsid w:val="00322C73"/>
    <w:rsid w:val="0033714B"/>
    <w:rsid w:val="00337624"/>
    <w:rsid w:val="00337B75"/>
    <w:rsid w:val="003525B4"/>
    <w:rsid w:val="00365EAB"/>
    <w:rsid w:val="00386008"/>
    <w:rsid w:val="003A1B30"/>
    <w:rsid w:val="003A5342"/>
    <w:rsid w:val="003D4323"/>
    <w:rsid w:val="003D5476"/>
    <w:rsid w:val="003E1573"/>
    <w:rsid w:val="003F38F8"/>
    <w:rsid w:val="00406970"/>
    <w:rsid w:val="004172D7"/>
    <w:rsid w:val="004754A2"/>
    <w:rsid w:val="004768D6"/>
    <w:rsid w:val="0048768A"/>
    <w:rsid w:val="00490D5B"/>
    <w:rsid w:val="004B4B22"/>
    <w:rsid w:val="004D3D3E"/>
    <w:rsid w:val="004F2218"/>
    <w:rsid w:val="0051019D"/>
    <w:rsid w:val="0052099E"/>
    <w:rsid w:val="00527F7A"/>
    <w:rsid w:val="005503CC"/>
    <w:rsid w:val="005711E8"/>
    <w:rsid w:val="005752A8"/>
    <w:rsid w:val="00582DA1"/>
    <w:rsid w:val="00604AD2"/>
    <w:rsid w:val="006071D7"/>
    <w:rsid w:val="0061301F"/>
    <w:rsid w:val="006140FF"/>
    <w:rsid w:val="00616EC6"/>
    <w:rsid w:val="00620A0A"/>
    <w:rsid w:val="00624CA5"/>
    <w:rsid w:val="006253E6"/>
    <w:rsid w:val="00633577"/>
    <w:rsid w:val="006A1C9F"/>
    <w:rsid w:val="006C77A4"/>
    <w:rsid w:val="00724A9C"/>
    <w:rsid w:val="007338B4"/>
    <w:rsid w:val="007659E3"/>
    <w:rsid w:val="00771F8A"/>
    <w:rsid w:val="00784D0C"/>
    <w:rsid w:val="00807752"/>
    <w:rsid w:val="0081543C"/>
    <w:rsid w:val="00822ACB"/>
    <w:rsid w:val="008405CA"/>
    <w:rsid w:val="0084684E"/>
    <w:rsid w:val="00885309"/>
    <w:rsid w:val="0088587A"/>
    <w:rsid w:val="00892157"/>
    <w:rsid w:val="008A1374"/>
    <w:rsid w:val="008C3653"/>
    <w:rsid w:val="008D2DAF"/>
    <w:rsid w:val="008D425B"/>
    <w:rsid w:val="0090333B"/>
    <w:rsid w:val="00905425"/>
    <w:rsid w:val="009111B3"/>
    <w:rsid w:val="009127D0"/>
    <w:rsid w:val="00924C71"/>
    <w:rsid w:val="00950A29"/>
    <w:rsid w:val="009846AC"/>
    <w:rsid w:val="00992A24"/>
    <w:rsid w:val="009B2BF4"/>
    <w:rsid w:val="009D3A54"/>
    <w:rsid w:val="00A01015"/>
    <w:rsid w:val="00A07B2E"/>
    <w:rsid w:val="00A1308D"/>
    <w:rsid w:val="00A13201"/>
    <w:rsid w:val="00A35B94"/>
    <w:rsid w:val="00A53832"/>
    <w:rsid w:val="00A53A4D"/>
    <w:rsid w:val="00A70667"/>
    <w:rsid w:val="00A941F4"/>
    <w:rsid w:val="00AA433D"/>
    <w:rsid w:val="00AB44BA"/>
    <w:rsid w:val="00AF7B0E"/>
    <w:rsid w:val="00B07E89"/>
    <w:rsid w:val="00B16AB9"/>
    <w:rsid w:val="00B32465"/>
    <w:rsid w:val="00B63C59"/>
    <w:rsid w:val="00B65470"/>
    <w:rsid w:val="00B719A9"/>
    <w:rsid w:val="00B91923"/>
    <w:rsid w:val="00BD5995"/>
    <w:rsid w:val="00BE5CE3"/>
    <w:rsid w:val="00C06DDC"/>
    <w:rsid w:val="00C10337"/>
    <w:rsid w:val="00C122FD"/>
    <w:rsid w:val="00CA654A"/>
    <w:rsid w:val="00CD0F03"/>
    <w:rsid w:val="00CD693D"/>
    <w:rsid w:val="00D2548A"/>
    <w:rsid w:val="00D36349"/>
    <w:rsid w:val="00D531FE"/>
    <w:rsid w:val="00D53269"/>
    <w:rsid w:val="00D81738"/>
    <w:rsid w:val="00DD0028"/>
    <w:rsid w:val="00DE1584"/>
    <w:rsid w:val="00E06E36"/>
    <w:rsid w:val="00E15E9F"/>
    <w:rsid w:val="00E20506"/>
    <w:rsid w:val="00E56EED"/>
    <w:rsid w:val="00EE34BD"/>
    <w:rsid w:val="00F26EBC"/>
    <w:rsid w:val="00F36A74"/>
    <w:rsid w:val="00F70E87"/>
    <w:rsid w:val="00F710E4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F5D15-D218-40EA-B9FC-1B3CF89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69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0028"/>
    <w:pPr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68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a.zabolotnaya</dc:creator>
  <cp:keywords/>
  <dc:description/>
  <cp:lastModifiedBy>Тимчук Леся Богдановна</cp:lastModifiedBy>
  <cp:revision>3</cp:revision>
  <cp:lastPrinted>2016-09-05T05:11:00Z</cp:lastPrinted>
  <dcterms:created xsi:type="dcterms:W3CDTF">2016-09-06T22:57:00Z</dcterms:created>
  <dcterms:modified xsi:type="dcterms:W3CDTF">2016-09-07T01:11:00Z</dcterms:modified>
</cp:coreProperties>
</file>