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4"/>
      </w:tblGrid>
      <w:tr>
        <w:tc>
          <w:tcPr>
            <w:tcW w:type="dxa" w:w="976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18.03.2022 № 124-П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«Об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в 2022–2025 годах»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18.03.2022 № 124-П</w:t>
      </w:r>
      <w:r>
        <w:rPr>
          <w:rStyle w:val="Style_3_ch"/>
          <w:rFonts w:ascii="Times New Roman" w:hAnsi="Times New Roman"/>
          <w:sz w:val="28"/>
        </w:rPr>
        <w:t xml:space="preserve"> «Об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в</w:t>
      </w:r>
      <w:r>
        <w:rPr>
          <w:sz w:val="28"/>
        </w:rPr>
        <w:br/>
      </w:r>
      <w:r>
        <w:rPr>
          <w:rStyle w:val="Style_3_ch"/>
          <w:rFonts w:ascii="Times New Roman" w:hAnsi="Times New Roman"/>
          <w:sz w:val="28"/>
        </w:rPr>
        <w:t>2022–2025 годах» следующие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преамбулу изложить в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 абзацем третьим пункта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постановлением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приложении: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часть 2 изложить в следующей редакции: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 Субсидия предоставляется в целях достижения результатов региональных проектов «Адресная поддержка повышения производительности труда на предприятиях», «</w:t>
      </w:r>
      <w:r>
        <w:rPr>
          <w:rStyle w:val="Style_3_ch"/>
          <w:rFonts w:ascii="Times New Roman" w:hAnsi="Times New Roman"/>
          <w:sz w:val="28"/>
        </w:rPr>
        <w:t>Системные меры по повышению производительности труда», направленных на достижение целей, показателей и решение задач национального проекта «Производительность труда» (далее – национальный проект), ведомственного проекта «Эффективное управление», включенных в состав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 (далее – государственная программа)»</w:t>
      </w:r>
      <w:r>
        <w:rPr>
          <w:rFonts w:ascii="Times New Roman" w:hAnsi="Times New Roman"/>
          <w:sz w:val="28"/>
        </w:rPr>
        <w:t>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внести изменения в часть 7</w:t>
      </w:r>
      <w:r>
        <w:rPr>
          <w:rFonts w:ascii="Times New Roman" w:hAnsi="Times New Roman"/>
          <w:sz w:val="28"/>
        </w:rPr>
        <w:t>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6 слова «настоящим Порядком.» заменить словами «настоящим Порядком;»;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7 следующего содержания: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массового уничтожения.»;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абзаце третьем части 8 слова «иные межбюджетные трансферты, имеющие целевое назначение, из федерального бюджета бюджету Камчатского края» заменить словами «субсидии из федерального бюджета бюджету Камчатского края на достижение результатов национального проекта (далее – федеральные субсидии)»;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 абзаце первом части 17 слова «иные межбюджетные трансферты, имеющие целевое назначение, из федерального бюджета бюджету Камчатского края» заменить словами «федеральные субсидии»;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часть 21 изложить в следующей редакции: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«21. Размер субсидий для достижения результатов предоставления субсидии в рамках реализации региональных проектов «Адресная поддержка повышения производительности труда на предприятиях», «</w:t>
      </w:r>
      <w:r>
        <w:rPr>
          <w:rStyle w:val="Style_3_ch"/>
          <w:rFonts w:ascii="Times New Roman" w:hAnsi="Times New Roman"/>
          <w:sz w:val="28"/>
        </w:rPr>
        <w:t>Системные меры по повышению производительности труда»</w:t>
      </w:r>
      <w:r>
        <w:rPr>
          <w:rFonts w:ascii="Times New Roman" w:hAnsi="Times New Roman"/>
          <w:sz w:val="28"/>
        </w:rPr>
        <w:t>, ведомственного проекта «Эффективное управление» определен законом Камчатского края о краевом бюджете на соответствующий финансовый год и плановый период.»;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 xml:space="preserve"> в части 22</w:t>
      </w:r>
      <w:r>
        <w:rPr>
          <w:rFonts w:ascii="Times New Roman" w:hAnsi="Times New Roman"/>
          <w:sz w:val="28"/>
        </w:rPr>
        <w:t>: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2 слова «25 ноября» заменить словами «30 сентября»; 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 изложить в редакции: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рамках реализации ведомственного проекта</w:t>
      </w:r>
      <w:r>
        <w:rPr>
          <w:rFonts w:ascii="Times New Roman" w:hAnsi="Times New Roman"/>
          <w:sz w:val="28"/>
        </w:rPr>
        <w:t xml:space="preserve"> «Эффективное управление»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количество исполнительных органов Камчатского края, в которых проведен функциональный анализ деятельности, </w:t>
      </w:r>
      <w:r>
        <w:rPr>
          <w:rFonts w:ascii="Times New Roman" w:hAnsi="Times New Roman"/>
          <w:sz w:val="28"/>
        </w:rPr>
        <w:t>по состоянию на 31 декабря, ежегодно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3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1000000">
      <w:pPr>
        <w:spacing w:after="120" w:before="120"/>
        <w:ind w:firstLine="0" w:left="120" w:right="120"/>
        <w:jc w:val="both"/>
        <w:rPr>
          <w:rFonts w:ascii="Times New Roman" w:hAnsi="Times New Roman"/>
          <w:sz w:val="24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4_ch"/>
    <w:link w:val="Style_9"/>
    <w:rPr>
      <w:rFonts w:ascii="Times New Roman" w:hAnsi="Times New Roman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Plain Text"/>
    <w:basedOn w:val="Style_4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4_ch"/>
    <w:link w:val="Style_14"/>
    <w:rPr>
      <w:rFonts w:ascii="Calibri" w:hAnsi="Calibri"/>
    </w:rPr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15" w:type="paragraph">
    <w:name w:val="Заголовок 1 Знак"/>
    <w:link w:val="Style_15_ch"/>
    <w:rPr>
      <w:rFonts w:ascii="XO Thames" w:hAnsi="XO Thames"/>
      <w:b w:val="1"/>
      <w:sz w:val="32"/>
    </w:rPr>
  </w:style>
  <w:style w:styleId="Style_15_ch" w:type="character">
    <w:name w:val="Заголовок 1 Знак"/>
    <w:link w:val="Style_15"/>
    <w:rPr>
      <w:rFonts w:ascii="XO Thames" w:hAnsi="XO Thames"/>
      <w:b w:val="1"/>
      <w:sz w:val="32"/>
    </w:rPr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er"/>
    <w:basedOn w:val="Style_4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4_ch"/>
    <w:link w:val="Style_17"/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Balloon Text"/>
    <w:basedOn w:val="Style_4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4_ch"/>
    <w:link w:val="Style_19"/>
    <w:rPr>
      <w:rFonts w:ascii="Segoe UI" w:hAnsi="Segoe UI"/>
      <w:sz w:val="18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Гиперссылка1"/>
    <w:basedOn w:val="Style_13"/>
    <w:link w:val="Style_31_ch"/>
    <w:rPr>
      <w:color w:themeColor="hyperlink" w:val="0563C1"/>
      <w:u w:val="single"/>
    </w:rPr>
  </w:style>
  <w:style w:styleId="Style_31_ch" w:type="character">
    <w:name w:val="Гиперссылка1"/>
    <w:basedOn w:val="Style_13_ch"/>
    <w:link w:val="Style_31"/>
    <w:rPr>
      <w:color w:themeColor="hyperlink" w:val="0563C1"/>
      <w:u w:val="single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2023-11-06T22:52:02Z</dcterms:modified>
</cp:coreProperties>
</file>