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7845" w:rsidRDefault="00FA4E8C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/>
                        <a:srcRect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10" o:title=""/>
              </v:shape>
            </w:pict>
          </mc:Fallback>
        </mc:AlternateContent>
      </w:r>
    </w:p>
    <w:p w:rsidR="00CE7845" w:rsidRDefault="00CE7845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CE7845" w:rsidRDefault="00CE784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E7845" w:rsidRDefault="00CE7845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CE7845" w:rsidRDefault="00FA4E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CE7845" w:rsidRDefault="00CE78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E7845" w:rsidRDefault="00FA4E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CE7845" w:rsidRDefault="00FA4E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CE7845" w:rsidRDefault="00CE7845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CE7845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CE7845" w:rsidRDefault="00FA4E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CE7845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CE7845" w:rsidRDefault="00FA4E8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CE784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CE7845" w:rsidRDefault="00CE7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CE7845" w:rsidRDefault="00CE78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d"/>
        <w:tblW w:w="0" w:type="auto"/>
        <w:tblInd w:w="-14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5"/>
      </w:tblGrid>
      <w:tr w:rsidR="00CE7845">
        <w:tc>
          <w:tcPr>
            <w:tcW w:w="96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FA4E8C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приложение к постановлению Правительства </w:t>
            </w:r>
            <w:r>
              <w:rPr>
                <w:rFonts w:ascii="Times New Roman" w:hAnsi="Times New Roman"/>
                <w:b/>
                <w:sz w:val="28"/>
              </w:rPr>
              <w:t>Камчатского края от 11.11.2019 № 473-П «Об утверждении Порядка формирования перечня налоговых расходов Камчатского края и оценки налоговых расходов Камчатского края»</w:t>
            </w:r>
            <w:r>
              <w:rPr>
                <w:rFonts w:ascii="Times New Roman" w:hAnsi="Times New Roman"/>
                <w:b/>
                <w:sz w:val="28"/>
              </w:rPr>
              <w:t xml:space="preserve">  </w:t>
            </w:r>
          </w:p>
        </w:tc>
      </w:tr>
    </w:tbl>
    <w:p w:rsidR="00CE7845" w:rsidRDefault="00CE78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7845" w:rsidRDefault="00FA4E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CE7845" w:rsidRDefault="00CE78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7845" w:rsidRDefault="00FA4E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 Прави</w:t>
      </w:r>
      <w:r>
        <w:rPr>
          <w:rFonts w:ascii="Times New Roman" w:hAnsi="Times New Roman"/>
          <w:sz w:val="28"/>
        </w:rPr>
        <w:t>тельства Камчатского края от 11.11.2019 № 473-П «Об утверждении Порядка формирования перечня налоговых расходов Камчатского края и оценки налоговых расходов Камчатского края» изменения, изложив его в редакции согласно приложению к настоящему постановлению.</w:t>
      </w:r>
    </w:p>
    <w:p w:rsidR="00CE7845" w:rsidRDefault="00FA4E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CE7845" w:rsidRDefault="00CE78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E7845" w:rsidRDefault="00CE784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E7845" w:rsidRDefault="00CE784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CE7845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CE7845" w:rsidRDefault="00FA4E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CE7845" w:rsidRDefault="00CE784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CE7845" w:rsidRDefault="00FA4E8C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CE7845" w:rsidRDefault="00CE784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CE7845" w:rsidRDefault="00CE7845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CE7845" w:rsidRDefault="00FA4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Чекин Е.А.</w:t>
            </w:r>
          </w:p>
        </w:tc>
      </w:tr>
    </w:tbl>
    <w:p w:rsidR="00CE7845" w:rsidRDefault="00CE7845"/>
    <w:p w:rsidR="00CE7845" w:rsidRDefault="00CE7845"/>
    <w:tbl>
      <w:tblPr>
        <w:tblStyle w:val="afd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1"/>
        <w:gridCol w:w="1869"/>
        <w:gridCol w:w="486"/>
        <w:gridCol w:w="1701"/>
      </w:tblGrid>
      <w:tr w:rsidR="00CE7845"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CE7845"/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CE784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CE784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CE784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FA4E8C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CE7845"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CE784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CE784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CE784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CE7845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FA4E8C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CE7845"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CE7845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CE7845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CE7845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CE7845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FA4E8C">
            <w:pPr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FA4E8C">
            <w:pPr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FA4E8C">
            <w:pPr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FA4E8C">
            <w:pPr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  <w:tr w:rsidR="00CE7845"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CE7845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CE7845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CE7845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CE7845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FA4E8C">
            <w:pPr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к постановлению</w:t>
            </w:r>
          </w:p>
          <w:p w:rsidR="00CE7845" w:rsidRDefault="00FA4E8C">
            <w:pPr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  <w:p w:rsidR="00CE7845" w:rsidRDefault="00FA4E8C">
            <w:pPr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11.11.2019 № 473-П </w:t>
            </w:r>
          </w:p>
        </w:tc>
      </w:tr>
    </w:tbl>
    <w:p w:rsidR="00CE7845" w:rsidRDefault="00CE7845">
      <w:pPr>
        <w:rPr>
          <w:rFonts w:ascii="Times New Roman" w:hAnsi="Times New Roman"/>
          <w:sz w:val="24"/>
        </w:rPr>
      </w:pPr>
    </w:p>
    <w:p w:rsidR="00CE7845" w:rsidRDefault="00FA4E8C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формирования перечня налоговых расходов Камчатского края и оценки налоговых расходов Камчатского края</w:t>
      </w:r>
    </w:p>
    <w:p w:rsidR="00CE7845" w:rsidRDefault="00CE7845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E7845" w:rsidRDefault="00FA4E8C">
      <w:pPr>
        <w:numPr>
          <w:ilvl w:val="0"/>
          <w:numId w:val="1"/>
        </w:num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требования</w:t>
      </w:r>
    </w:p>
    <w:p w:rsidR="00CE7845" w:rsidRDefault="00CE7845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определяет правила формирования перечня налоговых расходов Камчатского края и оценки налоговых расходов Камчатского края.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Понятия, используемые в настоящем Порядке, равнозначны понятиям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 796 «</w:t>
      </w:r>
      <w:r>
        <w:rPr>
          <w:rFonts w:ascii="Times New Roman" w:hAnsi="Times New Roman"/>
          <w:sz w:val="28"/>
        </w:rPr>
        <w:t xml:space="preserve">Об общих требованиях к оценке налоговых расходов субъектов Российской Федерации и муниципальных образований» (далее </w:t>
      </w:r>
      <w:r>
        <w:t>–</w:t>
      </w:r>
      <w:r>
        <w:rPr>
          <w:rFonts w:ascii="Times New Roman" w:hAnsi="Times New Roman"/>
          <w:sz w:val="28"/>
        </w:rPr>
        <w:t xml:space="preserve"> Общие требования).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Отнесение налоговых расходов Камчатского края к государственным программам Камчатского края осуществляется исходя из</w:t>
      </w:r>
      <w:r>
        <w:rPr>
          <w:rFonts w:ascii="Times New Roman" w:hAnsi="Times New Roman"/>
          <w:sz w:val="28"/>
        </w:rPr>
        <w:t xml:space="preserve"> целей государственных программ Камчатского края и (или) целей социально-экономической политики Камчатского края, не относящихся к государственным программам Камчатского края.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целях оценки налоговых расходов Камчатского края Министерство экономическог</w:t>
      </w:r>
      <w:r>
        <w:rPr>
          <w:rFonts w:ascii="Times New Roman" w:hAnsi="Times New Roman"/>
          <w:sz w:val="28"/>
        </w:rPr>
        <w:t xml:space="preserve">о развития Камчатского края (далее </w:t>
      </w:r>
      <w:r>
        <w:t>–</w:t>
      </w:r>
      <w:r>
        <w:rPr>
          <w:rFonts w:ascii="Times New Roman" w:hAnsi="Times New Roman"/>
          <w:sz w:val="28"/>
        </w:rPr>
        <w:t xml:space="preserve"> Министерство):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формирует перечень налоговых расходов Камчатского края; 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осуществляет анализ и обобщение результатов оценки налоговых расходов Камчатского края, проводимой кураторами налоговых расходов Камчатского </w:t>
      </w:r>
      <w:r>
        <w:rPr>
          <w:rFonts w:ascii="Times New Roman" w:hAnsi="Times New Roman"/>
          <w:sz w:val="28"/>
        </w:rPr>
        <w:t>края.</w:t>
      </w:r>
    </w:p>
    <w:p w:rsidR="00CE7845" w:rsidRDefault="00CE7845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CE7845" w:rsidRDefault="00FA4E8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Формирование перечня налоговых расходов Камчатского края</w:t>
      </w:r>
    </w:p>
    <w:p w:rsidR="00CE7845" w:rsidRDefault="00CE784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Проект перечня налоговых расходов Камчатского края на очередной финансовый год и плановый период (далее </w:t>
      </w:r>
      <w:r>
        <w:t>–</w:t>
      </w:r>
      <w:r>
        <w:rPr>
          <w:rFonts w:ascii="Times New Roman" w:hAnsi="Times New Roman"/>
          <w:sz w:val="28"/>
        </w:rPr>
        <w:t xml:space="preserve"> проект перечня налоговых расходов) формируется Министерством до 1 ноября и напр</w:t>
      </w:r>
      <w:r>
        <w:rPr>
          <w:rFonts w:ascii="Times New Roman" w:hAnsi="Times New Roman"/>
          <w:sz w:val="28"/>
        </w:rPr>
        <w:t>авляется на согласование ответственным исполнителям государственных программ Камчатского края, а также в заинтересованные исполнительные органы Камчатского края, иные государственные органы Камчатского края, организации, которые предлагается определить в к</w:t>
      </w:r>
      <w:r>
        <w:rPr>
          <w:rFonts w:ascii="Times New Roman" w:hAnsi="Times New Roman"/>
          <w:sz w:val="28"/>
        </w:rPr>
        <w:t>ачестве кураторов налоговых расходов Камчатского края.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Органы и организации, указанные в части 5 настоящего раздела, до 15 ноября рассматривают проект перечня налоговых расходов на предмет соответствия предлагаемого распределения налоговых расходов Камч</w:t>
      </w:r>
      <w:r>
        <w:rPr>
          <w:rFonts w:ascii="Times New Roman" w:hAnsi="Times New Roman"/>
          <w:sz w:val="28"/>
        </w:rPr>
        <w:t xml:space="preserve">атского края целям государственных программ Камчатского края и (или) целям социально-экономической политики Камчатского края, не относящимся к государственным программам Камчатского края, и информируют Министерство о согласовании проекта перечня налоговых </w:t>
      </w:r>
      <w:r>
        <w:rPr>
          <w:rFonts w:ascii="Times New Roman" w:hAnsi="Times New Roman"/>
          <w:sz w:val="28"/>
        </w:rPr>
        <w:t>расходов.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несогласия с проектом перечня налоговых расходов предложения по уточнению предлагаемого распределения налоговых расходов Камчатского края по целям государственных программ Камчатского</w:t>
      </w:r>
      <w:r>
        <w:rPr>
          <w:rFonts w:ascii="Times New Roman" w:hAnsi="Times New Roman"/>
          <w:sz w:val="28"/>
        </w:rPr>
        <w:t xml:space="preserve"> края и (или) целям социально-экономической политики Камчатского края, не относящимся к государственным программам Камчатского края, и (или) предложения по изменению кураторов налоговых расходов Камчатского края, предусмотренных проектом перечня налоговых </w:t>
      </w:r>
      <w:r>
        <w:rPr>
          <w:rFonts w:ascii="Times New Roman" w:hAnsi="Times New Roman"/>
          <w:sz w:val="28"/>
        </w:rPr>
        <w:t>расходов, направляются в Министерство в течение срока, указанного в абзаце первом настоящей части. Предложения по изменению кураторов налоговых расходов Камчатского края, подлежат согласованию с предлагаемыми кураторами налоговых расходов Камчатского края.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результаты рассмотрения проекта перечня налоговых расходов не направлены в Министерство в срок, указанный в абзаце первом настоящей части, проект перечня налоговых расходов считается согласованным.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замечания к отдельным позиция</w:t>
      </w:r>
      <w:r>
        <w:rPr>
          <w:rFonts w:ascii="Times New Roman" w:hAnsi="Times New Roman"/>
          <w:sz w:val="28"/>
        </w:rPr>
        <w:t>м проекта перечня налоговых расходов не содержат конкретных предложений по уточнению распределения налоговых расходов Камчатского края, проект перечня налоговых расходов Камчатского края считается согласованным в отношении соответствующих позиций.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</w:t>
      </w:r>
      <w:r>
        <w:rPr>
          <w:rFonts w:ascii="Times New Roman" w:hAnsi="Times New Roman"/>
          <w:sz w:val="28"/>
        </w:rPr>
        <w:t>чии разногласий по проекту перечня налоговых расходов Министерство до 30 ноября обеспечивает проведение согласительных процедур с соответствующими органами и организациями.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Разногласия, не урегулированные по результатам согласительных процедур, рассматрива</w:t>
      </w:r>
      <w:r>
        <w:rPr>
          <w:rFonts w:ascii="Times New Roman" w:hAnsi="Times New Roman"/>
          <w:sz w:val="28"/>
        </w:rPr>
        <w:t>ются до 20 декабря заместителем председателя Правительства Камчатского края, курирующим экономический блок.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После завершения процедур, указанных в части 6 настоящего раздела, перечень налоговых расходов считается сформированным и размещается не позднее </w:t>
      </w:r>
      <w:r>
        <w:rPr>
          <w:rFonts w:ascii="Times New Roman" w:hAnsi="Times New Roman"/>
          <w:sz w:val="28"/>
        </w:rPr>
        <w:t>25 декабря на странице Министерства на официальном сайте исполнительных органов Камчатского края в сети Интернет.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В случае изменения в текущем финансовом году состава налоговых расходов Камчатского края, внесения изменений в перечень государственных про</w:t>
      </w:r>
      <w:r>
        <w:rPr>
          <w:rFonts w:ascii="Times New Roman" w:hAnsi="Times New Roman"/>
          <w:sz w:val="28"/>
        </w:rPr>
        <w:t>грамм и (или) в случае изменения полномочий исполнительных органов Камчатского края, в связи с которыми возникает необходимость внесения изменений в перечень налоговых расходов, кураторы налоговых расходов Камчатского края в срок не позднее 10 рабочих дней</w:t>
      </w:r>
      <w:r>
        <w:rPr>
          <w:rFonts w:ascii="Times New Roman" w:hAnsi="Times New Roman"/>
          <w:sz w:val="28"/>
        </w:rPr>
        <w:t xml:space="preserve"> со дня внесения соответствующих изменений направляют в Министерство соответствующую информацию для уточнения перечня налоговых расходов Камчатского края.</w:t>
      </w:r>
    </w:p>
    <w:p w:rsidR="00CE7845" w:rsidRDefault="00CE7845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CE7845" w:rsidRDefault="00FA4E8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Порядок оценки налоговых расходов Камчатского края</w:t>
      </w:r>
    </w:p>
    <w:p w:rsidR="00CE7845" w:rsidRDefault="00CE784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В целях проведения оценки налоговых расход</w:t>
      </w:r>
      <w:r>
        <w:rPr>
          <w:rFonts w:ascii="Times New Roman" w:hAnsi="Times New Roman"/>
          <w:sz w:val="28"/>
        </w:rPr>
        <w:t>ов Камчатского края Министерство ежегодно: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 1 февраля направляет в Управление Федеральной налоговой службы по Камчатскому краю сведения о категориях плательщиков с указанием обусловливающих соответствующие налоговые расходы Камчатского края нормативны</w:t>
      </w:r>
      <w:r>
        <w:rPr>
          <w:rFonts w:ascii="Times New Roman" w:hAnsi="Times New Roman"/>
          <w:sz w:val="28"/>
        </w:rPr>
        <w:t>х правовых актов Камчатского края, в том числе действовавших в отчетном году и в году, предшествующем отчетному году, и иной информации, предусмотренной приложением к Общим требованиям;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 10 апреля направляет кураторам налоговых расходов Камчатского кр</w:t>
      </w:r>
      <w:r>
        <w:rPr>
          <w:rFonts w:ascii="Times New Roman" w:hAnsi="Times New Roman"/>
          <w:sz w:val="28"/>
        </w:rPr>
        <w:t>ая представленные Управлением федеральной налоговой службы по Камчатскому краю в соответствии с Общими требованиями в Министерство сведения за год, предшествующий отчетному году, а также уточненные по информации представленных налоговых деклараций данные з</w:t>
      </w:r>
      <w:r>
        <w:rPr>
          <w:rFonts w:ascii="Times New Roman" w:hAnsi="Times New Roman"/>
          <w:sz w:val="28"/>
        </w:rPr>
        <w:t>а иные отчетные периоды, в том числе: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 количестве плательщиков, воспользовавшихся льготами;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 суммах выпадающих доходов консолидированного бюджета Камчатского края по каждому налоговому расходу Камчатского края;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 объемах налогов, задекларирован</w:t>
      </w:r>
      <w:r>
        <w:rPr>
          <w:rFonts w:ascii="Times New Roman" w:hAnsi="Times New Roman"/>
          <w:sz w:val="28"/>
        </w:rPr>
        <w:t>ных для уплаты плательщиками в консолидированный бюджет Камчатского края по каждому налоговому расходу Камчатского края, в отношении стимулирующих налоговых расходов Камчатского края.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Оценка налоговых расходов Камчатского края осуществляется куратором </w:t>
      </w:r>
      <w:r>
        <w:rPr>
          <w:rFonts w:ascii="Times New Roman" w:hAnsi="Times New Roman"/>
          <w:sz w:val="28"/>
        </w:rPr>
        <w:t>налоговых расходов Камчатского края. Результаты оценки налоговых расходов Камчатского края (с отражением показателей, указанных в приложении к настоящему Порядку) с приложением аналитической записки по проведенным расчетам и пояснением (обоснованием) вывод</w:t>
      </w:r>
      <w:r>
        <w:rPr>
          <w:rFonts w:ascii="Times New Roman" w:hAnsi="Times New Roman"/>
          <w:sz w:val="28"/>
        </w:rPr>
        <w:t>ов, сделанных на основании данных расчетов, направляются в Министерство.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Кураторы налоговых расходов Камчатского края до 10 мая представляют в Министерство результаты проведенной оценки налоговых расходов Камчатского края.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Оценка эффективности нало</w:t>
      </w:r>
      <w:r>
        <w:rPr>
          <w:rFonts w:ascii="Times New Roman" w:hAnsi="Times New Roman"/>
          <w:sz w:val="28"/>
        </w:rPr>
        <w:t>говых расходов Камчатского края осуществляется кураторами налоговых расходов Камчатского края и включает: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оценку целесообразности налоговых расходов Камчатского края;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оценку результативности налоговых расходов Камчатского края.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Критериями целесоо</w:t>
      </w:r>
      <w:r>
        <w:rPr>
          <w:rFonts w:ascii="Times New Roman" w:hAnsi="Times New Roman"/>
          <w:sz w:val="28"/>
        </w:rPr>
        <w:t>бразности налоговых расходов Камчатского края являются: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соответствие налоговых расходов Камчатского края целям государственных программ Камчатского края и (или) целям социально-экономической политики Камчатского края, не относящимся к государственным пр</w:t>
      </w:r>
      <w:r>
        <w:rPr>
          <w:rFonts w:ascii="Times New Roman" w:hAnsi="Times New Roman"/>
          <w:sz w:val="28"/>
        </w:rPr>
        <w:t>ограммам Камчатского края;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</w:t>
      </w:r>
      <w:r>
        <w:rPr>
          <w:rFonts w:ascii="Times New Roman" w:hAnsi="Times New Roman"/>
          <w:sz w:val="28"/>
        </w:rPr>
        <w:t xml:space="preserve"> льготы, или общей численности плательщиков, за 5-</w:t>
      </w:r>
      <w:r>
        <w:rPr>
          <w:rFonts w:ascii="Times New Roman" w:hAnsi="Times New Roman"/>
          <w:sz w:val="28"/>
        </w:rPr>
        <w:lastRenderedPageBreak/>
        <w:t>летний период. Куратором налогового расхода может быть определено минимальное значение соотношения численности плательщиков, при котором льгота признается востребованной.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кураторами налого</w:t>
      </w:r>
      <w:r>
        <w:rPr>
          <w:rFonts w:ascii="Times New Roman" w:hAnsi="Times New Roman"/>
          <w:sz w:val="28"/>
        </w:rPr>
        <w:t>вых расходов Камчатского края могут быть установлены иные критерии целесообразности предоставления льгот для плательщиков.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В случае несоответствия налоговых расходов Камчатского края хотя бы одному из критериев, указанных в части 13 настоящего раздела,</w:t>
      </w:r>
      <w:r>
        <w:rPr>
          <w:rFonts w:ascii="Times New Roman" w:hAnsi="Times New Roman"/>
          <w:sz w:val="28"/>
        </w:rPr>
        <w:t xml:space="preserve"> куратору налогового расхода Камчатского края надлежит представить в Министерство предложения о сохранении (уточнении, отмене) льгот для плательщиков.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В качестве критерия результативности налогового расхода Камчатского края определяется как минимум один показатель (индикатор) достижения целей государственной программы Камчатского края или целей социально-экономической политики Камчатского края, не от</w:t>
      </w:r>
      <w:r>
        <w:rPr>
          <w:rFonts w:ascii="Times New Roman" w:hAnsi="Times New Roman"/>
          <w:sz w:val="28"/>
        </w:rPr>
        <w:t>носящихся к государственным программам Камчатского края, либо иной показатель (индикатор), на значение которого оказывают влияние налоговые расходы Камчатского края.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Оценке подлежит вклад предусмотренных для плательщиков льгот в изменение значения показате</w:t>
      </w:r>
      <w:r>
        <w:rPr>
          <w:rFonts w:ascii="Times New Roman" w:hAnsi="Times New Roman"/>
          <w:sz w:val="28"/>
        </w:rPr>
        <w:t>ля (индикатора) достижения целей государственной программы Камчатского края и (или) целей социально-экономической политики Камчатского края, не относящихся к государственным программам Камчатского края, который рассчитывается как разница между значением ук</w:t>
      </w:r>
      <w:r>
        <w:rPr>
          <w:rFonts w:ascii="Times New Roman" w:hAnsi="Times New Roman"/>
          <w:sz w:val="28"/>
        </w:rPr>
        <w:t>азанного показателя (индикатора) с учетом льгот и значением указанного показателя (индикатора) без учета льгот.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Оценка результативности налоговых расходов Камчатского края включает оценку бюджетной эффективности налоговых расходов Камчатского края.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</w:t>
      </w:r>
      <w:r>
        <w:rPr>
          <w:rFonts w:ascii="Times New Roman" w:hAnsi="Times New Roman"/>
          <w:sz w:val="28"/>
        </w:rPr>
        <w:t xml:space="preserve"> В целях оценки бюджетной эффективности налоговых расходов Камчатского края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государственной программы Камчатс</w:t>
      </w:r>
      <w:r>
        <w:rPr>
          <w:rFonts w:ascii="Times New Roman" w:hAnsi="Times New Roman"/>
          <w:sz w:val="28"/>
        </w:rPr>
        <w:t>кого края и (или) целей социально-экономической политики Камчатского края, не относящихся к государственным программам Камчатского края, а также оценка совокупного бюджетного эффекта (самоокупаемости) стимулирующих налоговых расходов Камчатского края.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</w:t>
      </w:r>
      <w:r>
        <w:rPr>
          <w:rFonts w:ascii="Times New Roman" w:hAnsi="Times New Roman"/>
          <w:sz w:val="28"/>
        </w:rPr>
        <w:t>необходимости куратором налогового расхода могут быть установлены дополнительные критерии оценки бюджетной эффективности налогового расхода Камчатского края.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Сравнительный анализ включает сравнение объемов расходов краевого бюджета в случае применения </w:t>
      </w:r>
      <w:r>
        <w:rPr>
          <w:rFonts w:ascii="Times New Roman" w:hAnsi="Times New Roman"/>
          <w:sz w:val="28"/>
        </w:rPr>
        <w:t xml:space="preserve">альтернативных механизмов достижения целей государственной программы Камчатского края и (или) целей социально-экономической политики Камчатского края, не относящихся к государственным программам, и объемов предоставленных льгот (расчет прироста показателя </w:t>
      </w:r>
      <w:r>
        <w:rPr>
          <w:rFonts w:ascii="Times New Roman" w:hAnsi="Times New Roman"/>
          <w:sz w:val="28"/>
        </w:rPr>
        <w:t xml:space="preserve">(индикатора) достижения целей государственной программы Камчатского края и (или) целей социально-экономической политики Камчатского края, не относящихся к государственным программам Камчатского края, на 1 рубль </w:t>
      </w:r>
      <w:r>
        <w:rPr>
          <w:rFonts w:ascii="Times New Roman" w:hAnsi="Times New Roman"/>
          <w:sz w:val="28"/>
        </w:rPr>
        <w:lastRenderedPageBreak/>
        <w:t>налоговых расходов Камчатского края и на 1 ру</w:t>
      </w:r>
      <w:r>
        <w:rPr>
          <w:rFonts w:ascii="Times New Roman" w:hAnsi="Times New Roman"/>
          <w:sz w:val="28"/>
        </w:rPr>
        <w:t>бль расходов краевого бюджета для достижения того же показателя (индикатора) в случае применения альтернативных механизмов).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>. В качестве альтернативных механизмов достижения целей государственной программы Камчатского края и (или) целей социально-экономической политики Камчатского края, не относящихся к государственным программам Камчатского края, могут учитываться в том числе: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субсидии или иные формы непосредственной финансовой поддержки плательщиков, имеющих право на льготы, за счет средств краевого бюджета;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предоставление государственных гарантий по обязательствам плательщиков, имеющих право на льготы;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совершенствова</w:t>
      </w:r>
      <w:r>
        <w:rPr>
          <w:rFonts w:ascii="Times New Roman" w:hAnsi="Times New Roman"/>
          <w:sz w:val="28"/>
        </w:rPr>
        <w:t>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В целях оценки бюджетной эффективности стимулирующих налоговых расходов Камчатского края, обусловленны</w:t>
      </w:r>
      <w:r>
        <w:rPr>
          <w:rFonts w:ascii="Times New Roman" w:hAnsi="Times New Roman"/>
          <w:sz w:val="28"/>
        </w:rPr>
        <w:t>х льготами, по налогу на прибыль организаций, подлежащих зачислению в краевой бюджет, и налогу на имущество организаций наряду со сравнительным анализом, указанным в части 18 настоящего раздела, рассчитывается оценка совокупного бюджетного эффекта (самооку</w:t>
      </w:r>
      <w:r>
        <w:rPr>
          <w:rFonts w:ascii="Times New Roman" w:hAnsi="Times New Roman"/>
          <w:sz w:val="28"/>
        </w:rPr>
        <w:t>паемости) указанных налоговых расходов Камчатского края в соответствии с частью 21 настоящего раздела.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Камчат</w:t>
      </w:r>
      <w:r>
        <w:rPr>
          <w:rFonts w:ascii="Times New Roman" w:hAnsi="Times New Roman"/>
          <w:sz w:val="28"/>
        </w:rPr>
        <w:t>ского края.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совокупного бюджетного эффекта (самоокупаемости) стимулирующих налоговых расходов Камчатского края определяется отдельно по каждому налоговому расходу Камчатского края. В случае если для отдельных категорий плательщиков, имеющих право на</w:t>
      </w:r>
      <w:r>
        <w:rPr>
          <w:rFonts w:ascii="Times New Roman" w:hAnsi="Times New Roman"/>
          <w:sz w:val="28"/>
        </w:rPr>
        <w:t xml:space="preserve"> льготы, предоставлены налоговые льготы по нескольким видам налогов, оценка совокупного бюджетного эффекта (самоокупаемости) налоговых расходов Камчатского края определяется в целом по указанной категории плательщиков.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Оценка совокупного бюджетного эфф</w:t>
      </w:r>
      <w:r>
        <w:rPr>
          <w:rFonts w:ascii="Times New Roman" w:hAnsi="Times New Roman"/>
          <w:sz w:val="28"/>
        </w:rPr>
        <w:t>екта (самоокупаемости) стимулирующих налоговых расходов Камчатского края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– на день проведения оц</w:t>
      </w:r>
      <w:r>
        <w:rPr>
          <w:rFonts w:ascii="Times New Roman" w:hAnsi="Times New Roman"/>
          <w:sz w:val="28"/>
        </w:rPr>
        <w:t>енки эффективности налогового расхода Камчатского края (Е) по следующей формуле:</w:t>
      </w:r>
    </w:p>
    <w:p w:rsidR="00CE7845" w:rsidRDefault="00FA4E8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>
                <wp:extent cx="2362200" cy="533400"/>
                <wp:effectExtent l="0" t="0" r="0" b="0"/>
                <wp:docPr id="2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1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86.0pt;height:42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 xml:space="preserve"> , где</w:t>
      </w:r>
    </w:p>
    <w:p w:rsidR="00CE7845" w:rsidRDefault="00CE784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 </w:t>
      </w:r>
      <w:r>
        <w:t>–</w:t>
      </w:r>
      <w:r>
        <w:rPr>
          <w:rFonts w:ascii="Times New Roman" w:hAnsi="Times New Roman"/>
          <w:sz w:val="28"/>
        </w:rPr>
        <w:t xml:space="preserve"> порядковый номер года, имеющий значение от 1 до 5;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</w:rPr>
        <w:t>i</w:t>
      </w:r>
      <w:r>
        <w:t>–</w:t>
      </w:r>
      <w:r>
        <w:rPr>
          <w:rFonts w:ascii="Times New Roman" w:hAnsi="Times New Roman"/>
          <w:sz w:val="28"/>
        </w:rPr>
        <w:t xml:space="preserve"> количество плательщиков, воспользовавшихся льготой в i-м году;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j </w:t>
      </w:r>
      <w:r>
        <w:t>–</w:t>
      </w:r>
      <w:r>
        <w:rPr>
          <w:rFonts w:ascii="Times New Roman" w:hAnsi="Times New Roman"/>
          <w:sz w:val="28"/>
        </w:rPr>
        <w:t xml:space="preserve"> порядковый номер плательщика, имеющий зн</w:t>
      </w:r>
      <w:r>
        <w:rPr>
          <w:rFonts w:ascii="Times New Roman" w:hAnsi="Times New Roman"/>
          <w:sz w:val="28"/>
        </w:rPr>
        <w:t>ачение от 1 до m;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mc:AlternateContent>
          <mc:Choice Requires="wpg">
            <w:drawing>
              <wp:inline distT="0" distB="0" distL="0" distR="0">
                <wp:extent cx="266700" cy="285750"/>
                <wp:effectExtent l="0" t="0" r="0" b="0"/>
                <wp:docPr id="3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3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1.0pt;height:22.5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 xml:space="preserve"> </w:t>
      </w:r>
      <w:r>
        <w:t>–</w:t>
      </w:r>
      <w:r>
        <w:rPr>
          <w:rFonts w:ascii="Times New Roman" w:hAnsi="Times New Roman"/>
          <w:sz w:val="28"/>
        </w:rPr>
        <w:t xml:space="preserve"> объем налогов, задекларированных для уплаты в консолидированный бюджет Камчатского края j-м налогоплательщиком в i-м году. При определении объема налогов, задекларированных для уплаты в консолидированный бюджет Камчатского края плател</w:t>
      </w:r>
      <w:r>
        <w:rPr>
          <w:rFonts w:ascii="Times New Roman" w:hAnsi="Times New Roman"/>
          <w:sz w:val="28"/>
        </w:rPr>
        <w:t>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</w:t>
      </w:r>
      <w:r>
        <w:rPr>
          <w:rFonts w:ascii="Times New Roman" w:hAnsi="Times New Roman"/>
          <w:sz w:val="28"/>
        </w:rPr>
        <w:t xml:space="preserve"> налогообложения при выполнении соглашений о разделе продукции), и земельному налогу. В случае если на день проведения оценки совокупного бюджетного эффекта (самоокупаемости) стимулирующих налоговых расходов Камчатского края для плательщиков, имеющих право</w:t>
      </w:r>
      <w:r>
        <w:rPr>
          <w:rFonts w:ascii="Times New Roman" w:hAnsi="Times New Roman"/>
          <w:sz w:val="28"/>
        </w:rPr>
        <w:t xml:space="preserve"> на льготы, льготы действуют менее шести лет, объемы налогов, подлежащих уплате в консолидированный бюджет Камчатского края, оцениваются (прогнозируются) по данным Камчатского края;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>
                <wp:extent cx="266700" cy="285750"/>
                <wp:effectExtent l="0" t="0" r="0" b="0"/>
                <wp:docPr id="4" name="Pictu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5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21.0pt;height:22.5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 xml:space="preserve"> </w:t>
      </w:r>
      <w:r>
        <w:t>–</w:t>
      </w:r>
      <w:r>
        <w:rPr>
          <w:rFonts w:ascii="Times New Roman" w:hAnsi="Times New Roman"/>
          <w:sz w:val="28"/>
        </w:rPr>
        <w:t xml:space="preserve"> базовый объем налогов, задекларированных для уплаты в консолидированны</w:t>
      </w:r>
      <w:r>
        <w:rPr>
          <w:rFonts w:ascii="Times New Roman" w:hAnsi="Times New Roman"/>
          <w:sz w:val="28"/>
        </w:rPr>
        <w:t>й бюджет Камчатского края j-м плательщиком в базовом году;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>
                <wp:extent cx="180975" cy="266700"/>
                <wp:effectExtent l="0" t="0" r="0" b="0"/>
                <wp:docPr id="5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7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4.2pt;height:21.0pt;" stroked="false">
                <v:path textboxrect="0,0,0,0"/>
                <v:imagedata r:id="rId18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 xml:space="preserve"> </w:t>
      </w:r>
      <w:r>
        <w:t>–</w:t>
      </w:r>
      <w:r>
        <w:rPr>
          <w:rFonts w:ascii="Times New Roman" w:hAnsi="Times New Roman"/>
          <w:sz w:val="28"/>
        </w:rPr>
        <w:t xml:space="preserve">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года, определяемый Министерством финансов Ро</w:t>
      </w:r>
      <w:r>
        <w:rPr>
          <w:rFonts w:ascii="Times New Roman" w:hAnsi="Times New Roman"/>
          <w:sz w:val="28"/>
        </w:rPr>
        <w:t>ссийской Федерации;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 </w:t>
      </w:r>
      <w:r>
        <w:t>–</w:t>
      </w:r>
      <w:r>
        <w:rPr>
          <w:rFonts w:ascii="Times New Roman" w:hAnsi="Times New Roman"/>
          <w:sz w:val="28"/>
        </w:rPr>
        <w:t xml:space="preserve"> расчетная стоимость среднесрочных рыночных заимствований Камчатского края, рассчитываемая по формуле:</w:t>
      </w:r>
    </w:p>
    <w:p w:rsidR="00CE7845" w:rsidRDefault="00CE7845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CE7845" w:rsidRDefault="00FA4E8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>
                <wp:extent cx="1066800" cy="285750"/>
                <wp:effectExtent l="0" t="0" r="0" b="0"/>
                <wp:docPr id="6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19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84.0pt;height:22.5pt;" stroked="false">
                <v:path textboxrect="0,0,0,0"/>
                <v:imagedata r:id="rId20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 xml:space="preserve"> , где</w:t>
      </w:r>
    </w:p>
    <w:p w:rsidR="00CE7845" w:rsidRDefault="00CE784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>
                <wp:extent cx="304800" cy="285750"/>
                <wp:effectExtent l="0" t="0" r="0" b="0"/>
                <wp:docPr id="7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21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24.0pt;height:22.5pt;" stroked="false">
                <v:path textboxrect="0,0,0,0"/>
                <v:imagedata r:id="rId22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 xml:space="preserve"> </w:t>
      </w:r>
      <w:r>
        <w:t>–</w:t>
      </w:r>
      <w:r>
        <w:rPr>
          <w:rFonts w:ascii="Times New Roman" w:hAnsi="Times New Roman"/>
          <w:sz w:val="28"/>
        </w:rPr>
        <w:t xml:space="preserve"> целевой уровень инфляции (4 процента);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 </w:t>
      </w:r>
      <w:r>
        <w:t>–</w:t>
      </w:r>
      <w:r>
        <w:rPr>
          <w:rFonts w:ascii="Times New Roman" w:hAnsi="Times New Roman"/>
          <w:sz w:val="28"/>
        </w:rPr>
        <w:t xml:space="preserve"> реальная процентная ставка, определяемая на уровне 2,5 процента;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 </w:t>
      </w:r>
      <w:r>
        <w:t>–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>редитная премия за риск, рассчитываемая для целей настоящего документа в зависимости от отношения государственного долга Камчатского края по состоянию на 1 января текущего финансового года к доходам (без учета безвозмездных поступлений) за отчетный период: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указанное отношение составляет менее 50 процентов, кредитная премия за риск принимается равной 1 проценту;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указанное отношение составляет от 50 до 100 процентов, кредитная премия за риск принимается равной 2 процентам;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указанное отношение с</w:t>
      </w:r>
      <w:r>
        <w:rPr>
          <w:rFonts w:ascii="Times New Roman" w:hAnsi="Times New Roman"/>
          <w:sz w:val="28"/>
        </w:rPr>
        <w:t>оставляет более 100 процентов, кредитная премия за риск принимается равной 3 процентам.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Базовый объем налогов, задекларированных для уплаты в консолидированный бюджет Камчатского края j-м плательщиком в базовом году (</w: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>
                <wp:extent cx="257175" cy="266700"/>
                <wp:effectExtent l="0" t="0" r="0" b="0"/>
                <wp:docPr id="8" name="Picture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15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20.2pt;height:21.0pt;" stroked="false">
                <v:path textboxrect="0,0,0,0"/>
                <v:imagedata r:id="rId23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 xml:space="preserve"> ), рассчитывается по формуле:</w:t>
      </w:r>
    </w:p>
    <w:p w:rsidR="00CE7845" w:rsidRDefault="00CE7845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CE7845" w:rsidRDefault="00FA4E8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>
                <wp:extent cx="1085850" cy="285750"/>
                <wp:effectExtent l="0" t="0" r="0" b="0"/>
                <wp:docPr id="9" name="Pictur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/>
                        <pic:cNvPicPr/>
                      </pic:nvPicPr>
                      <pic:blipFill>
                        <a:blip r:embed="rId24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85.5pt;height:22.5pt;" stroked="false">
                <v:path textboxrect="0,0,0,0"/>
                <v:imagedata r:id="rId25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 где</w:t>
      </w:r>
    </w:p>
    <w:p w:rsidR="00CE7845" w:rsidRDefault="00CE784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>
                <wp:extent cx="285750" cy="285750"/>
                <wp:effectExtent l="0" t="0" r="0" b="0"/>
                <wp:docPr id="10" name="Picture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26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mso-wrap-distance-left:0.0pt;mso-wrap-distance-top:0.0pt;mso-wrap-distance-right:0.0pt;mso-wrap-distance-bottom:0.0pt;width:22.5pt;height:22.5pt;" stroked="false">
                <v:path textboxrect="0,0,0,0"/>
                <v:imagedata r:id="rId27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 xml:space="preserve"> </w:t>
      </w:r>
      <w:r>
        <w:t>–</w:t>
      </w:r>
      <w:r>
        <w:rPr>
          <w:rFonts w:ascii="Times New Roman" w:hAnsi="Times New Roman"/>
          <w:sz w:val="28"/>
        </w:rPr>
        <w:t xml:space="preserve"> объем налогов, задекларированных для уплаты в консолидированный бюджет Камчатского края j-м плательщиком в базовом году;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>
                <wp:extent cx="266700" cy="285750"/>
                <wp:effectExtent l="0" t="0" r="0" b="0"/>
                <wp:docPr id="11" name="Picture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/>
                        <pic:cNvPicPr/>
                      </pic:nvPicPr>
                      <pic:blipFill>
                        <a:blip r:embed="rId28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mso-wrap-distance-left:0.0pt;mso-wrap-distance-top:0.0pt;mso-wrap-distance-right:0.0pt;mso-wrap-distance-bottom:0.0pt;width:21.0pt;height:22.5pt;" stroked="false">
                <v:path textboxrect="0,0,0,0"/>
                <v:imagedata r:id="rId29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 xml:space="preserve"> </w:t>
      </w:r>
      <w:r>
        <w:t>–</w:t>
      </w:r>
      <w:r>
        <w:rPr>
          <w:rFonts w:ascii="Times New Roman" w:hAnsi="Times New Roman"/>
          <w:sz w:val="28"/>
        </w:rPr>
        <w:t xml:space="preserve"> объем льгот, предоставленных j-му плательщику в базовом году.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базовым годом понимается год, предшествующий году нача</w:t>
      </w:r>
      <w:r>
        <w:rPr>
          <w:rFonts w:ascii="Times New Roman" w:hAnsi="Times New Roman"/>
          <w:sz w:val="28"/>
        </w:rPr>
        <w:t>ла применения j-м плательщиком льготы, либо шестой год, предшествующий отчетному году, если льгота предоставляется плательщику более шести лет.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По итогам оценки эффективности налогового расхода Камчатского края куратор налогового расхода Камчатского кр</w:t>
      </w:r>
      <w:r>
        <w:rPr>
          <w:rFonts w:ascii="Times New Roman" w:hAnsi="Times New Roman"/>
          <w:sz w:val="28"/>
        </w:rPr>
        <w:t>ая формулирует выводы о достижении целевых характеристик налогового расхода Камчатского края, вкладе налогового расхода Камчатского края в достижение целей государственной программы Камчатского края и (или) целей социально-экономической политики Камчатског</w:t>
      </w:r>
      <w:r>
        <w:rPr>
          <w:rFonts w:ascii="Times New Roman" w:hAnsi="Times New Roman"/>
          <w:sz w:val="28"/>
        </w:rPr>
        <w:t>о края, не относящихся к государственным программам Камчатского края, а также о наличии или об отсутствии более результативных (менее затратных для краевого бюджета) альтернативных механизмов достижения целей государственной программы Камчатского края и (и</w:t>
      </w:r>
      <w:r>
        <w:rPr>
          <w:rFonts w:ascii="Times New Roman" w:hAnsi="Times New Roman"/>
          <w:sz w:val="28"/>
        </w:rPr>
        <w:t>ли) целей социально-экономической политики Камчатского края, не относящихся к государственным программам Камчатского края.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Министерство формирует оценку эффективности налоговых расходов Камчатского края на основе данных, представленных кураторами налог</w:t>
      </w:r>
      <w:r>
        <w:rPr>
          <w:rFonts w:ascii="Times New Roman" w:hAnsi="Times New Roman"/>
          <w:sz w:val="28"/>
        </w:rPr>
        <w:t>овых расходов Камчатского края.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Результаты рассмотрения оценки налоговых расходов Камчатского края учитываются при формировании основных направлений бюджетной и налоговой политики Камчатского края, а также при проведении оценки эффективности реализации</w:t>
      </w:r>
      <w:r>
        <w:rPr>
          <w:rFonts w:ascii="Times New Roman" w:hAnsi="Times New Roman"/>
          <w:sz w:val="28"/>
        </w:rPr>
        <w:t xml:space="preserve"> государственных программ Камчатского края.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Министерство до 1 июня представляет в Министерство финансов Российской Федерации данные для оценки эффективности налоговых расходов Камчатского края по перечню показателей для проведения оценки налоговых расх</w:t>
      </w:r>
      <w:r>
        <w:rPr>
          <w:rFonts w:ascii="Times New Roman" w:hAnsi="Times New Roman"/>
          <w:sz w:val="28"/>
        </w:rPr>
        <w:t>одов субъекта Российской Федерации согласно приложению к Общим требованиям.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При необходимости Министерство до 20 августа, на основании сведений, направленных Управлением федеральной налоговой службы по Камчатскому краю согласно подпункту «е» пункта 8 О</w:t>
      </w:r>
      <w:r>
        <w:rPr>
          <w:rFonts w:ascii="Times New Roman" w:hAnsi="Times New Roman"/>
          <w:sz w:val="28"/>
        </w:rPr>
        <w:t>бщих требований, организует проведение кураторами налоговых расходов Камчатского края уточняющих оценок соответствующих налоговых расходов Камчатского края и представляет в Министерство финансов Российской Федерации уточненную информацию по результатам про</w:t>
      </w:r>
      <w:r>
        <w:rPr>
          <w:rFonts w:ascii="Times New Roman" w:hAnsi="Times New Roman"/>
          <w:sz w:val="28"/>
        </w:rPr>
        <w:t>веденной оценки эффективности налоговых расходов Камчатского края по перечню показателей для проведения оценки налоговых расходов субъекта Российской Федерации согласно приложению к Общим требованиям.</w:t>
      </w:r>
    </w:p>
    <w:p w:rsidR="00CE7845" w:rsidRDefault="00FA4E8C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28. Министерство до 1 октября размещает информацию о ре</w:t>
      </w:r>
      <w:r>
        <w:rPr>
          <w:rFonts w:ascii="Times New Roman" w:hAnsi="Times New Roman"/>
          <w:sz w:val="28"/>
        </w:rPr>
        <w:t>зультатах ежегодной оценки эффективности налоговых расходов Камчатского края на странице Министерства на официальном сайте исполнительных органов Камчатского края в сети Интернет.</w:t>
      </w:r>
    </w:p>
    <w:p w:rsidR="00CE7845" w:rsidRDefault="00CE7845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CE7845">
      <w:pPr>
        <w:spacing w:line="240" w:lineRule="auto"/>
        <w:jc w:val="right"/>
        <w:outlineLvl w:val="1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CE7845">
        <w:trPr>
          <w:trHeight w:val="360"/>
        </w:trPr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CE7845"/>
        </w:tc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7845" w:rsidRDefault="00FA4E8C">
            <w:pPr>
              <w:spacing w:line="240" w:lineRule="auto"/>
            </w:pPr>
            <w:r>
              <w:rPr>
                <w:rFonts w:ascii="Times New Roman" w:hAnsi="Times New Roman"/>
                <w:sz w:val="28"/>
              </w:rPr>
              <w:t>Приложение к Порядку формирования перечня налоговых расходов Камчатского края и оценки налоговых расходов Камчатского края</w:t>
            </w:r>
          </w:p>
        </w:tc>
      </w:tr>
    </w:tbl>
    <w:p w:rsidR="00CE7845" w:rsidRDefault="00CE7845">
      <w:pPr>
        <w:spacing w:line="240" w:lineRule="auto"/>
        <w:jc w:val="right"/>
        <w:outlineLvl w:val="1"/>
        <w:rPr>
          <w:rFonts w:ascii="Times New Roman" w:hAnsi="Times New Roman"/>
          <w:sz w:val="28"/>
        </w:rPr>
      </w:pPr>
    </w:p>
    <w:p w:rsidR="00CE7845" w:rsidRDefault="00FA4E8C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показателей для проведения оценки налоговых расходов Камчатского края</w:t>
      </w:r>
    </w:p>
    <w:p w:rsidR="00CE7845" w:rsidRDefault="00CE7845">
      <w:pPr>
        <w:spacing w:line="240" w:lineRule="auto"/>
        <w:jc w:val="center"/>
        <w:rPr>
          <w:rFonts w:ascii="Times New Roman" w:hAnsi="Times New Roman"/>
          <w:b/>
          <w:color w:val="7030A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5373"/>
        <w:gridCol w:w="3512"/>
      </w:tblGrid>
      <w:tr w:rsidR="00CE7845">
        <w:tc>
          <w:tcPr>
            <w:tcW w:w="6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Предоставляемая информация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данных</w:t>
            </w:r>
          </w:p>
        </w:tc>
      </w:tr>
      <w:tr w:rsidR="00CE7845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 Нормативные и целевые характеристики налогового расхода Камчатского края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Нормативные правовые акты Камчатского края,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Данные </w:t>
            </w:r>
            <w:r>
              <w:rPr>
                <w:rFonts w:ascii="Times New Roman" w:hAnsi="Times New Roman"/>
                <w:sz w:val="24"/>
              </w:rPr>
              <w:t>Министерства экономического развития и торговли Камчатского края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Условия предоставления налоговых льгот, освобождений и иных преференций, установленных нормативными правовыми актами Камчатского края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Министерства экономического развития и торговл</w:t>
            </w:r>
            <w:r>
              <w:rPr>
                <w:rFonts w:ascii="Times New Roman" w:hAnsi="Times New Roman"/>
                <w:sz w:val="24"/>
              </w:rPr>
              <w:t>и Камчатского края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Камчатского края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Данные Министерства экономического развития и торговли </w:t>
            </w:r>
            <w:r>
              <w:rPr>
                <w:rFonts w:ascii="Times New Roman" w:hAnsi="Times New Roman"/>
                <w:sz w:val="24"/>
              </w:rPr>
              <w:t>Камчатского края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вступления в силу положений нормативных правовых актов Камчатского края, устанавливающих налоговые льготы, освобождения и иные преференции по налогам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Министерства экономического развития и торговли Камчатского края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начала действия предоставленного нормативными правовыми актами Камчатского края права на налоговые льготы, освобождения и иные преференции по налогам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Министерства экономического развития и торговли Камчатского края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 действия налоговых</w:t>
            </w:r>
            <w:r>
              <w:rPr>
                <w:rFonts w:ascii="Times New Roman" w:hAnsi="Times New Roman"/>
                <w:sz w:val="24"/>
              </w:rPr>
              <w:t xml:space="preserve"> льгот, освобождений и иных преференций по налогам, предоставленных нормативными правовыми актами Камчатского края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Министерства экономического развития и торговли Камчатского края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прекращения действия налоговых льгот, освобождений и иных пр</w:t>
            </w:r>
            <w:r>
              <w:rPr>
                <w:rFonts w:ascii="Times New Roman" w:hAnsi="Times New Roman"/>
                <w:sz w:val="24"/>
              </w:rPr>
              <w:t>еференций по налогам, установленная нормативными правовыми актами Камчатского края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Министерства экономического развития и торговли Камчатского края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Министерства экон</w:t>
            </w:r>
            <w:r>
              <w:rPr>
                <w:rFonts w:ascii="Times New Roman" w:hAnsi="Times New Roman"/>
                <w:sz w:val="24"/>
              </w:rPr>
              <w:t>омического развития и торговли Камчатского края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Целевая категория налогового расхода Камчатского края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Министерства экономического развития и торговли Камчатского края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Камчатского края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куратора налогового расхода Камчатского края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Наименования налогов, по которым предусматр</w:t>
            </w:r>
            <w:r>
              <w:rPr>
                <w:rFonts w:ascii="Times New Roman" w:hAnsi="Times New Roman"/>
                <w:sz w:val="24"/>
              </w:rPr>
              <w:t>иваются налоговые льготы, освобождения и иные преференции, установленные нормативными правовыми актами Камчатского края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Министерства экономического развития и торговли Камчатского края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налоговых льгот, освобождений и иных преференций, опред</w:t>
            </w:r>
            <w:r>
              <w:rPr>
                <w:rFonts w:ascii="Times New Roman" w:hAnsi="Times New Roman"/>
                <w:sz w:val="24"/>
              </w:rPr>
              <w:t>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Министерства экономического развития и торговли Камчатского края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Министерства экономического развития и торговли Камчатского края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достижения целей государственных пр</w:t>
            </w:r>
            <w:r>
              <w:rPr>
                <w:rFonts w:ascii="Times New Roman" w:hAnsi="Times New Roman"/>
                <w:sz w:val="24"/>
              </w:rPr>
              <w:t>ограмм Камчатского края и (или) целей социально-экономической политики Камчатского края, не относящихся к государственным программам Камчатского края, в связи с предоставлением налоговых льгот, освобождений и иных преференций по налогам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куратора нал</w:t>
            </w:r>
            <w:r>
              <w:rPr>
                <w:rFonts w:ascii="Times New Roman" w:hAnsi="Times New Roman"/>
                <w:sz w:val="24"/>
              </w:rPr>
              <w:t>огового расхода Камчатского края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вида экономической деятельности (по общероссийскому </w:t>
            </w:r>
            <w:hyperlink r:id="rId30" w:history="1">
              <w:r>
                <w:rPr>
                  <w:rFonts w:ascii="Times New Roman" w:hAnsi="Times New Roman"/>
                  <w:sz w:val="24"/>
                </w:rPr>
                <w:t>классификатору</w:t>
              </w:r>
            </w:hyperlink>
            <w:r>
              <w:rPr>
                <w:rFonts w:ascii="Times New Roman" w:hAnsi="Times New Roman"/>
                <w:sz w:val="24"/>
              </w:rPr>
              <w:t xml:space="preserve"> видов эк</w:t>
            </w:r>
            <w:r>
              <w:rPr>
                <w:rFonts w:ascii="Times New Roman" w:hAnsi="Times New Roman"/>
                <w:sz w:val="24"/>
              </w:rPr>
              <w:t xml:space="preserve">ономической деятельности), к которому относится налоговый расход Камчатского края (если налоговый расход Камчатского края обусловлен налоговыми льготами, </w:t>
            </w:r>
            <w:r>
              <w:rPr>
                <w:rFonts w:ascii="Times New Roman" w:hAnsi="Times New Roman"/>
                <w:sz w:val="24"/>
              </w:rPr>
              <w:lastRenderedPageBreak/>
              <w:t>освобождениями и иными преференциями для отдельных видов экономической деятельности)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Данные куратора н</w:t>
            </w:r>
            <w:r>
              <w:rPr>
                <w:rFonts w:ascii="Times New Roman" w:hAnsi="Times New Roman"/>
                <w:sz w:val="24"/>
              </w:rPr>
              <w:t>алогового расхода Камчатского края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Принадлежность налогового расхода Камчатского края к группе полномочий в соответствии с </w:t>
            </w:r>
            <w:hyperlink r:id="rId31" w:history="1">
              <w:r>
                <w:rPr>
                  <w:rFonts w:ascii="Times New Roman" w:hAnsi="Times New Roman"/>
                  <w:sz w:val="24"/>
                </w:rPr>
                <w:t>Методикой</w:t>
              </w:r>
            </w:hyperlink>
            <w:r>
              <w:rPr>
                <w:rFonts w:ascii="Times New Roman" w:hAnsi="Times New Roman"/>
                <w:sz w:val="24"/>
              </w:rPr>
              <w:t xml:space="preserve"> распределения дотаций, утвержденной постановлением Правительства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от 22 ноября 2004 г. № 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куратора налогового расхода Камчатского края, данные Министерства экономического развития и торговли Камчатского края</w:t>
            </w:r>
          </w:p>
        </w:tc>
      </w:tr>
      <w:tr w:rsidR="00CE7845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II. </w:t>
            </w:r>
            <w:r>
              <w:rPr>
                <w:rFonts w:ascii="Times New Roman" w:hAnsi="Times New Roman"/>
                <w:sz w:val="24"/>
              </w:rPr>
              <w:t>Фискальные характеристики налогового расхода Камчатского края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Камчатского края</w:t>
            </w:r>
            <w:r>
              <w:rPr>
                <w:rFonts w:ascii="Times New Roman" w:hAnsi="Times New Roman"/>
                <w:sz w:val="24"/>
              </w:rPr>
              <w:t xml:space="preserve"> за отчетный год и за год, предшествующий отчетному году, тыс. рублей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Управления федеральной налоговой службы по Камчатскому краю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тыс. рублей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куратора налогового расхода Камчатского края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Численность </w:t>
            </w:r>
            <w:r>
              <w:rPr>
                <w:rFonts w:ascii="Times New Roman" w:hAnsi="Times New Roman"/>
                <w:sz w:val="24"/>
              </w:rPr>
              <w:t>плательщиков налогов, воспользовавшихся налоговой льготой, освобождением и иной преференцией, установленных нормативными правовыми актами Камчатского края, единиц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Управления федеральной налоговой службы по Камчатскому краю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Базовый объем налогов</w:t>
            </w:r>
            <w:r>
              <w:rPr>
                <w:rFonts w:ascii="Times New Roman" w:hAnsi="Times New Roman"/>
                <w:sz w:val="24"/>
              </w:rPr>
              <w:t>, задекларированный для уплаты в консолидированный бюджет Камчатского края плательщиками налогов, имеющими право на налоговые льготы, освобождения и иные преференции, установленные нормативными правовыми актами Камчатского края, тыс. рублей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Управлен</w:t>
            </w:r>
            <w:r>
              <w:rPr>
                <w:rFonts w:ascii="Times New Roman" w:hAnsi="Times New Roman"/>
                <w:sz w:val="24"/>
              </w:rPr>
              <w:t>ия федеральной налоговой службы по Камчатскому краю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численность плательщиков налогов (единиц)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Управления федеральной налоговой службы по Камчатскому краю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налогов, задекларированный для уплаты в консолидированный бюджет </w:t>
            </w:r>
            <w:r>
              <w:rPr>
                <w:rFonts w:ascii="Times New Roman" w:hAnsi="Times New Roman"/>
                <w:sz w:val="24"/>
              </w:rPr>
              <w:t xml:space="preserve">Камчатского края плательщиками налогов, имеющими право на налоговые льготы, освобождения и иные </w:t>
            </w:r>
            <w:r>
              <w:rPr>
                <w:rFonts w:ascii="Times New Roman" w:hAnsi="Times New Roman"/>
                <w:sz w:val="24"/>
              </w:rPr>
              <w:lastRenderedPageBreak/>
              <w:t>преференции за шесть лет, предшествующих отчетному финансовому году, тыс. рублей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Данные Управления федеральной налоговой службы по Камчатскому краю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</w:t>
            </w:r>
            <w:r>
              <w:rPr>
                <w:rFonts w:ascii="Times New Roman" w:hAnsi="Times New Roman"/>
                <w:sz w:val="24"/>
              </w:rPr>
              <w:t>ат оценки эффективности налогового расхода Камчатского края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куратора налогового расхода Камчатского края</w:t>
            </w:r>
          </w:p>
        </w:tc>
      </w:tr>
      <w:tr w:rsidR="00CE784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совокупного бюджетного эффекта (для стимулирующих налоговых расходов Камчатского края)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845" w:rsidRDefault="00FA4E8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куратора налогового расхода Камчатског</w:t>
            </w:r>
            <w:r>
              <w:rPr>
                <w:rFonts w:ascii="Times New Roman" w:hAnsi="Times New Roman"/>
                <w:sz w:val="24"/>
              </w:rPr>
              <w:t>о края</w:t>
            </w:r>
          </w:p>
        </w:tc>
      </w:tr>
    </w:tbl>
    <w:p w:rsidR="00CE7845" w:rsidRDefault="00CE7845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CE7845" w:rsidRDefault="00CE7845">
      <w:pPr>
        <w:tabs>
          <w:tab w:val="left" w:pos="7560"/>
        </w:tabs>
        <w:spacing w:line="240" w:lineRule="auto"/>
        <w:ind w:firstLine="709"/>
        <w:jc w:val="both"/>
        <w:rPr>
          <w:rFonts w:ascii="Times New Roman" w:hAnsi="Times New Roman"/>
          <w:color w:val="7030A0"/>
          <w:sz w:val="28"/>
        </w:rPr>
      </w:pPr>
    </w:p>
    <w:sectPr w:rsidR="00CE7845">
      <w:headerReference w:type="default" r:id="rId32"/>
      <w:pgSz w:w="11906" w:h="16838"/>
      <w:pgMar w:top="1134" w:right="850" w:bottom="1134" w:left="1418" w:header="709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45" w:rsidRDefault="00FA4E8C">
      <w:pPr>
        <w:spacing w:after="0" w:line="240" w:lineRule="auto"/>
      </w:pPr>
      <w:r>
        <w:separator/>
      </w:r>
    </w:p>
  </w:endnote>
  <w:endnote w:type="continuationSeparator" w:id="0">
    <w:p w:rsidR="00CE7845" w:rsidRDefault="00FA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45" w:rsidRDefault="00FA4E8C">
      <w:pPr>
        <w:spacing w:after="0" w:line="240" w:lineRule="auto"/>
      </w:pPr>
      <w:r>
        <w:separator/>
      </w:r>
    </w:p>
  </w:footnote>
  <w:footnote w:type="continuationSeparator" w:id="0">
    <w:p w:rsidR="00CE7845" w:rsidRDefault="00FA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45" w:rsidRDefault="00FA4E8C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2</w:t>
    </w:r>
    <w:r>
      <w:fldChar w:fldCharType="end"/>
    </w:r>
  </w:p>
  <w:p w:rsidR="00CE7845" w:rsidRDefault="00CE78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5B4D"/>
    <w:multiLevelType w:val="hybridMultilevel"/>
    <w:tmpl w:val="B1801D60"/>
    <w:lvl w:ilvl="0" w:tplc="3592A9F6">
      <w:start w:val="1"/>
      <w:numFmt w:val="decimal"/>
      <w:lvlText w:val="%1."/>
      <w:lvlJc w:val="left"/>
      <w:pPr>
        <w:ind w:left="720" w:hanging="360"/>
      </w:pPr>
    </w:lvl>
    <w:lvl w:ilvl="1" w:tplc="F348A73C">
      <w:start w:val="1"/>
      <w:numFmt w:val="lowerLetter"/>
      <w:lvlText w:val="%2."/>
      <w:lvlJc w:val="left"/>
      <w:pPr>
        <w:ind w:left="1440" w:hanging="360"/>
      </w:pPr>
    </w:lvl>
    <w:lvl w:ilvl="2" w:tplc="399A5CA8">
      <w:start w:val="1"/>
      <w:numFmt w:val="lowerRoman"/>
      <w:lvlText w:val="%3."/>
      <w:lvlJc w:val="right"/>
      <w:pPr>
        <w:ind w:left="2160" w:hanging="360"/>
      </w:pPr>
    </w:lvl>
    <w:lvl w:ilvl="3" w:tplc="04F2F9A0">
      <w:start w:val="1"/>
      <w:numFmt w:val="decimal"/>
      <w:lvlText w:val="%4."/>
      <w:lvlJc w:val="left"/>
      <w:pPr>
        <w:ind w:left="2880" w:hanging="360"/>
      </w:pPr>
    </w:lvl>
    <w:lvl w:ilvl="4" w:tplc="14265ED0">
      <w:start w:val="1"/>
      <w:numFmt w:val="lowerLetter"/>
      <w:lvlText w:val="%5."/>
      <w:lvlJc w:val="left"/>
      <w:pPr>
        <w:ind w:left="3600" w:hanging="360"/>
      </w:pPr>
    </w:lvl>
    <w:lvl w:ilvl="5" w:tplc="A4829BE6">
      <w:start w:val="1"/>
      <w:numFmt w:val="lowerRoman"/>
      <w:lvlText w:val="%6."/>
      <w:lvlJc w:val="right"/>
      <w:pPr>
        <w:ind w:left="4320" w:hanging="360"/>
      </w:pPr>
    </w:lvl>
    <w:lvl w:ilvl="6" w:tplc="2FBA38C6">
      <w:start w:val="1"/>
      <w:numFmt w:val="decimal"/>
      <w:lvlText w:val="%7."/>
      <w:lvlJc w:val="left"/>
      <w:pPr>
        <w:ind w:left="5040" w:hanging="360"/>
      </w:pPr>
    </w:lvl>
    <w:lvl w:ilvl="7" w:tplc="63C8576A">
      <w:start w:val="1"/>
      <w:numFmt w:val="lowerLetter"/>
      <w:lvlText w:val="%8."/>
      <w:lvlJc w:val="left"/>
      <w:pPr>
        <w:ind w:left="5760" w:hanging="360"/>
      </w:pPr>
    </w:lvl>
    <w:lvl w:ilvl="8" w:tplc="E59C193A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45"/>
    <w:rsid w:val="00CE7845"/>
    <w:rsid w:val="00F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9DD30-E1FC-4B66-B465-AED83C8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8">
    <w:name w:val="footnote text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TOC Heading"/>
    <w:uiPriority w:val="39"/>
    <w:unhideWhenUsed/>
  </w:style>
  <w:style w:type="paragraph" w:styleId="af">
    <w:name w:val="table of figures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8"/>
    </w:rPr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Segoe UI" w:hAnsi="Segoe UI"/>
      <w:sz w:val="18"/>
    </w:rPr>
  </w:style>
  <w:style w:type="character" w:customStyle="1" w:styleId="af3">
    <w:name w:val="Текст выноски Знак"/>
    <w:basedOn w:val="1"/>
    <w:link w:val="af2"/>
    <w:rPr>
      <w:rFonts w:ascii="Segoe UI" w:hAnsi="Segoe UI"/>
      <w:sz w:val="18"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f8"/>
    <w:rPr>
      <w:color w:val="0000FF"/>
      <w:u w:val="single"/>
    </w:rPr>
  </w:style>
  <w:style w:type="character" w:styleId="af8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26">
    <w:name w:val="Основной шрифт абзаца2"/>
    <w:link w:val="81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a">
    <w:name w:val="Гиперссылка1"/>
    <w:basedOn w:val="15"/>
    <w:link w:val="1b"/>
    <w:rPr>
      <w:color w:val="0563C1" w:themeColor="hyperlink"/>
      <w:u w:val="single"/>
    </w:rPr>
  </w:style>
  <w:style w:type="character" w:customStyle="1" w:styleId="1b">
    <w:name w:val="Гиперссылка1"/>
    <w:basedOn w:val="16"/>
    <w:link w:val="1a"/>
    <w:rPr>
      <w:color w:val="0563C1" w:themeColor="hyperlink"/>
      <w:u w:val="single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styleId="afb">
    <w:name w:val="Title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Заголовок Знак"/>
    <w:link w:val="af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50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20.png"/><Relationship Id="rId17" Type="http://schemas.openxmlformats.org/officeDocument/2006/relationships/image" Target="media/image5.png"/><Relationship Id="rId25" Type="http://schemas.openxmlformats.org/officeDocument/2006/relationships/image" Target="media/image9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image" Target="media/image60.png"/><Relationship Id="rId29" Type="http://schemas.openxmlformats.org/officeDocument/2006/relationships/image" Target="media/image1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10" Type="http://schemas.openxmlformats.org/officeDocument/2006/relationships/image" Target="media/image10.jpg"/><Relationship Id="rId19" Type="http://schemas.openxmlformats.org/officeDocument/2006/relationships/image" Target="media/image6.png"/><Relationship Id="rId31" Type="http://schemas.openxmlformats.org/officeDocument/2006/relationships/hyperlink" Target="consultantplus://offline/ref=CBFFB9EC6BBE47732E33ADDA3CE7E289B10414C862915DDE555EE2908C6D0CE60E6888ADB4AA6CCC6D6287318CE5B0FC42F5E6B49D1F9FF4nEnED" TargetMode="External"/><Relationship Id="rId4" Type="http://schemas.openxmlformats.org/officeDocument/2006/relationships/webSettings" Target="webSettings.xml"/><Relationship Id="rId14" Type="http://schemas.openxmlformats.org/officeDocument/2006/relationships/image" Target="media/image30.png"/><Relationship Id="rId22" Type="http://schemas.openxmlformats.org/officeDocument/2006/relationships/image" Target="media/image70.png"/><Relationship Id="rId27" Type="http://schemas.openxmlformats.org/officeDocument/2006/relationships/image" Target="media/image100.png"/><Relationship Id="rId30" Type="http://schemas.openxmlformats.org/officeDocument/2006/relationships/hyperlink" Target="consultantplus://offline/ref=CBFFB9EC6BBE47732E33ADDA3CE7E289B10612C8659A5DDE555EE2908C6D0CE61C68D0A1B6AD70CE6777D160C9nBn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Оксана Александровна</dc:creator>
  <cp:lastModifiedBy>Алексеева Оксана Александровна</cp:lastModifiedBy>
  <cp:revision>2</cp:revision>
  <dcterms:created xsi:type="dcterms:W3CDTF">2023-10-18T02:17:00Z</dcterms:created>
  <dcterms:modified xsi:type="dcterms:W3CDTF">2023-10-18T02:17:00Z</dcterms:modified>
</cp:coreProperties>
</file>