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BC35EA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приложение к постановлению Губернатора Камчатского края от 19.03.2020 № 38 "</w:t>
            </w:r>
            <w:r>
              <w:rPr>
                <w:szCs w:val="28"/>
              </w:rPr>
              <w:t>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государ-ственной власти Камчатского края"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62299" w:rsidRPr="00FE04CE" w:rsidRDefault="00BC35EA" w:rsidP="00FE04CE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FE04CE">
        <w:rPr>
          <w:bCs/>
          <w:szCs w:val="28"/>
        </w:rPr>
        <w:t>Внести в приложение к постановлению Губернатора Камчатского края от 19.03.2020 № 38 "</w:t>
      </w:r>
      <w:r w:rsidRPr="00FE04CE">
        <w:rPr>
          <w:szCs w:val="28"/>
        </w:rPr>
        <w:t>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государст</w:t>
      </w:r>
      <w:r w:rsidR="00283124">
        <w:rPr>
          <w:szCs w:val="28"/>
        </w:rPr>
        <w:t>венной власти Камчатского края"</w:t>
      </w:r>
      <w:r w:rsidR="00283124" w:rsidRPr="00283124">
        <w:rPr>
          <w:bCs/>
          <w:szCs w:val="28"/>
        </w:rPr>
        <w:t xml:space="preserve"> </w:t>
      </w:r>
      <w:r w:rsidR="00283124" w:rsidRPr="00FE04CE">
        <w:rPr>
          <w:bCs/>
          <w:szCs w:val="28"/>
        </w:rPr>
        <w:t>следующие изменения</w:t>
      </w:r>
      <w:r w:rsidR="00283124">
        <w:rPr>
          <w:bCs/>
          <w:szCs w:val="28"/>
        </w:rPr>
        <w:t>:</w:t>
      </w:r>
    </w:p>
    <w:p w:rsidR="00FE04CE" w:rsidRPr="00FE04CE" w:rsidRDefault="00FE04CE" w:rsidP="00FE04CE">
      <w:pPr>
        <w:pStyle w:val="ac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FE04CE">
        <w:rPr>
          <w:szCs w:val="28"/>
        </w:rPr>
        <w:t>в разделе 2:</w:t>
      </w:r>
    </w:p>
    <w:p w:rsidR="00FE04CE" w:rsidRDefault="000D2AEE" w:rsidP="000D2AEE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</w:t>
      </w:r>
      <w:r w:rsidR="00FE04CE" w:rsidRPr="000D2AEE">
        <w:rPr>
          <w:szCs w:val="28"/>
        </w:rPr>
        <w:t xml:space="preserve">асть 2.4 </w:t>
      </w:r>
      <w:r>
        <w:rPr>
          <w:szCs w:val="28"/>
        </w:rPr>
        <w:t>изложить в следующей редакции:</w:t>
      </w:r>
    </w:p>
    <w:p w:rsidR="00AA37F0" w:rsidRDefault="000D2AEE" w:rsidP="000D2A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"2.4. </w:t>
      </w:r>
      <w:r w:rsidRPr="00BF60EA">
        <w:rPr>
          <w:szCs w:val="28"/>
        </w:rPr>
        <w:t>Ежемесячная надбавка за особые условия устанавливается персонально лицу, замещающему государственную должность, гражданскому служащему</w:t>
      </w:r>
      <w:r>
        <w:rPr>
          <w:szCs w:val="28"/>
        </w:rPr>
        <w:t>, замещающему должность руководителя исполнительного органа государственной власти Камчатского края,</w:t>
      </w:r>
      <w:r w:rsidRPr="00BF60EA">
        <w:rPr>
          <w:szCs w:val="28"/>
        </w:rPr>
        <w:t xml:space="preserve"> в </w:t>
      </w:r>
      <w:r w:rsidR="00854C28">
        <w:rPr>
          <w:szCs w:val="28"/>
        </w:rPr>
        <w:t>распоряжении Губернатора Камчатского края</w:t>
      </w:r>
      <w:r w:rsidRPr="00BF60EA">
        <w:rPr>
          <w:szCs w:val="28"/>
        </w:rPr>
        <w:t xml:space="preserve"> о назначении на соответствующую должность</w:t>
      </w:r>
      <w:r>
        <w:rPr>
          <w:szCs w:val="28"/>
        </w:rPr>
        <w:t xml:space="preserve"> с даты назначения </w:t>
      </w:r>
      <w:r w:rsidR="00AA37F0" w:rsidRPr="0057495D">
        <w:rPr>
          <w:szCs w:val="28"/>
        </w:rPr>
        <w:t>в минимальн</w:t>
      </w:r>
      <w:r w:rsidR="00283124">
        <w:rPr>
          <w:szCs w:val="28"/>
        </w:rPr>
        <w:t>ых</w:t>
      </w:r>
      <w:r w:rsidR="00AA37F0" w:rsidRPr="0057495D">
        <w:rPr>
          <w:szCs w:val="28"/>
        </w:rPr>
        <w:t xml:space="preserve"> размер</w:t>
      </w:r>
      <w:r w:rsidR="00283124">
        <w:rPr>
          <w:szCs w:val="28"/>
        </w:rPr>
        <w:t>ах, установленных для замещаемой должности в соответствии с пунктом 1 и подпунктом "а" пункта 2 части 2.3 настоящего раздела.</w:t>
      </w:r>
    </w:p>
    <w:p w:rsidR="008A2866" w:rsidRDefault="00AA37F0" w:rsidP="000D2A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Лицам</w:t>
      </w:r>
      <w:r w:rsidR="008A2866">
        <w:rPr>
          <w:szCs w:val="28"/>
        </w:rPr>
        <w:t>, замещающим государственные должности, гражданским</w:t>
      </w:r>
      <w:r w:rsidR="008A2866" w:rsidRPr="00BF60EA">
        <w:rPr>
          <w:szCs w:val="28"/>
        </w:rPr>
        <w:t xml:space="preserve"> служащ</w:t>
      </w:r>
      <w:r w:rsidR="008A2866">
        <w:rPr>
          <w:szCs w:val="28"/>
        </w:rPr>
        <w:t>им, замещающим должности руководителя исполнительного органа государственной власти Камчатского края,</w:t>
      </w:r>
      <w:r w:rsidR="008A2866" w:rsidRPr="00BF60EA">
        <w:rPr>
          <w:szCs w:val="28"/>
        </w:rPr>
        <w:t xml:space="preserve"> </w:t>
      </w:r>
      <w:r>
        <w:rPr>
          <w:szCs w:val="28"/>
        </w:rPr>
        <w:t>отработавшим полный отчетный квартал</w:t>
      </w:r>
      <w:r w:rsidR="000D2AEE" w:rsidRPr="00BF60EA">
        <w:rPr>
          <w:szCs w:val="28"/>
        </w:rPr>
        <w:t xml:space="preserve">, </w:t>
      </w:r>
      <w:r>
        <w:rPr>
          <w:szCs w:val="28"/>
        </w:rPr>
        <w:t xml:space="preserve">размер надбавки </w:t>
      </w:r>
      <w:r w:rsidR="001A2058">
        <w:rPr>
          <w:szCs w:val="28"/>
        </w:rPr>
        <w:t>устанавливается</w:t>
      </w:r>
      <w:r>
        <w:rPr>
          <w:szCs w:val="28"/>
        </w:rPr>
        <w:t xml:space="preserve"> </w:t>
      </w:r>
      <w:r w:rsidR="008A2866" w:rsidRPr="00BF60EA">
        <w:rPr>
          <w:szCs w:val="28"/>
        </w:rPr>
        <w:t>еже</w:t>
      </w:r>
      <w:r w:rsidR="008A2866">
        <w:rPr>
          <w:szCs w:val="28"/>
        </w:rPr>
        <w:t>квартально</w:t>
      </w:r>
      <w:r w:rsidR="008A2866" w:rsidRPr="00BF60EA">
        <w:rPr>
          <w:szCs w:val="28"/>
        </w:rPr>
        <w:t xml:space="preserve"> не позднее </w:t>
      </w:r>
      <w:r w:rsidR="008A2866">
        <w:rPr>
          <w:szCs w:val="28"/>
        </w:rPr>
        <w:t xml:space="preserve">20 числа месяца, следующего за отчетным кварталом, </w:t>
      </w:r>
      <w:r w:rsidRPr="00884362">
        <w:rPr>
          <w:szCs w:val="28"/>
        </w:rPr>
        <w:t xml:space="preserve">в соответствии с частью </w:t>
      </w:r>
      <w:r>
        <w:rPr>
          <w:szCs w:val="28"/>
        </w:rPr>
        <w:t>2.5</w:t>
      </w:r>
      <w:r w:rsidRPr="00884362">
        <w:rPr>
          <w:szCs w:val="28"/>
        </w:rPr>
        <w:t xml:space="preserve"> настоящего </w:t>
      </w:r>
      <w:r>
        <w:rPr>
          <w:szCs w:val="28"/>
        </w:rPr>
        <w:t>раздела</w:t>
      </w:r>
      <w:r w:rsidR="008A2866">
        <w:rPr>
          <w:szCs w:val="28"/>
        </w:rPr>
        <w:t>.";</w:t>
      </w:r>
    </w:p>
    <w:p w:rsidR="008A2866" w:rsidRDefault="008A2866" w:rsidP="00882D55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дополнить частью 2.4</w:t>
      </w:r>
      <w:r w:rsidRPr="00882D55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8A2866" w:rsidRDefault="008A2866" w:rsidP="008A286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"2.4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Гражданским служащим, за исключением гражданских служащих, </w:t>
      </w:r>
      <w:r w:rsidR="00B5487A">
        <w:rPr>
          <w:szCs w:val="28"/>
        </w:rPr>
        <w:t>замещающих должности руководителей исполнительных органов государственной власти Камчатского края</w:t>
      </w:r>
      <w:r w:rsidR="00882D55">
        <w:rPr>
          <w:szCs w:val="28"/>
        </w:rPr>
        <w:t>, е</w:t>
      </w:r>
      <w:r w:rsidRPr="00BF60EA">
        <w:rPr>
          <w:szCs w:val="28"/>
        </w:rPr>
        <w:t>жемесячная надбавка за особые условия устанавливается персонально в правовом акте о назначении на соответствующую должность</w:t>
      </w:r>
      <w:r>
        <w:rPr>
          <w:szCs w:val="28"/>
        </w:rPr>
        <w:t xml:space="preserve"> с даты назначения по 31 декабря текущего года</w:t>
      </w:r>
      <w:r w:rsidRPr="00BF60EA">
        <w:rPr>
          <w:szCs w:val="28"/>
        </w:rPr>
        <w:t xml:space="preserve">, а в дальнейшем ежегодно не позднее 1 </w:t>
      </w:r>
      <w:r w:rsidRPr="00884362">
        <w:rPr>
          <w:szCs w:val="28"/>
        </w:rPr>
        <w:t>января в соответствии с частью 1.4 раздела 1 настоящего Положения.</w:t>
      </w:r>
      <w:r w:rsidR="00882D55">
        <w:rPr>
          <w:szCs w:val="28"/>
        </w:rPr>
        <w:t>";</w:t>
      </w:r>
    </w:p>
    <w:p w:rsidR="00882D55" w:rsidRDefault="00882D55" w:rsidP="00B5487A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часть 2.5 изложить в следующей редакции:</w:t>
      </w:r>
    </w:p>
    <w:p w:rsidR="00882D55" w:rsidRPr="00884362" w:rsidRDefault="00882D55" w:rsidP="00882D55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"2.5. </w:t>
      </w:r>
      <w:r w:rsidRPr="00195C6F">
        <w:rPr>
          <w:szCs w:val="28"/>
        </w:rPr>
        <w:t>При установлении надбавки за особые условия лицам, замещающи</w:t>
      </w:r>
      <w:r>
        <w:rPr>
          <w:szCs w:val="28"/>
        </w:rPr>
        <w:t>м</w:t>
      </w:r>
      <w:r w:rsidRPr="00195C6F">
        <w:rPr>
          <w:szCs w:val="28"/>
        </w:rPr>
        <w:t xml:space="preserve"> государственные должности</w:t>
      </w:r>
      <w:r>
        <w:rPr>
          <w:szCs w:val="28"/>
        </w:rPr>
        <w:t>,</w:t>
      </w:r>
      <w:r w:rsidRPr="00195C6F">
        <w:rPr>
          <w:szCs w:val="28"/>
        </w:rPr>
        <w:t xml:space="preserve"> </w:t>
      </w:r>
      <w:r>
        <w:rPr>
          <w:szCs w:val="28"/>
        </w:rPr>
        <w:t xml:space="preserve">гражданским служащим, замещающим должности руководителей исполнительных органов государственной власти Камчатского края, </w:t>
      </w:r>
      <w:r w:rsidRPr="00195C6F">
        <w:rPr>
          <w:szCs w:val="28"/>
        </w:rPr>
        <w:t xml:space="preserve">учитываются </w:t>
      </w:r>
      <w:r w:rsidRPr="00882D55">
        <w:rPr>
          <w:szCs w:val="28"/>
        </w:rPr>
        <w:t>результат</w:t>
      </w:r>
      <w:r>
        <w:rPr>
          <w:szCs w:val="28"/>
        </w:rPr>
        <w:t>ы</w:t>
      </w:r>
      <w:r w:rsidRPr="00882D55">
        <w:rPr>
          <w:szCs w:val="28"/>
        </w:rPr>
        <w:t xml:space="preserve"> оценки эффективности деятельности</w:t>
      </w:r>
      <w:r>
        <w:rPr>
          <w:szCs w:val="28"/>
        </w:rPr>
        <w:t xml:space="preserve"> лиц</w:t>
      </w:r>
      <w:r w:rsidR="00595692">
        <w:rPr>
          <w:szCs w:val="28"/>
        </w:rPr>
        <w:t>,</w:t>
      </w:r>
      <w:r>
        <w:rPr>
          <w:szCs w:val="28"/>
        </w:rPr>
        <w:t xml:space="preserve"> замещающих государственные должности, гражданских служащих, замещающих должности руководителей исполнительных органов государственной власти Камчатского края</w:t>
      </w:r>
      <w:r w:rsidRPr="00882D55">
        <w:rPr>
          <w:szCs w:val="28"/>
        </w:rPr>
        <w:t xml:space="preserve">, основанной на достижении показателей результативности </w:t>
      </w:r>
      <w:r>
        <w:rPr>
          <w:szCs w:val="28"/>
        </w:rPr>
        <w:t xml:space="preserve">их </w:t>
      </w:r>
      <w:r w:rsidRPr="00882D55">
        <w:rPr>
          <w:szCs w:val="28"/>
        </w:rPr>
        <w:t xml:space="preserve">деятельности, </w:t>
      </w:r>
      <w:r w:rsidR="00283124">
        <w:rPr>
          <w:szCs w:val="28"/>
        </w:rPr>
        <w:t>утверждаемых</w:t>
      </w:r>
      <w:r>
        <w:rPr>
          <w:szCs w:val="28"/>
        </w:rPr>
        <w:t xml:space="preserve"> распоряжением Губернатора Камчатского края.";</w:t>
      </w:r>
    </w:p>
    <w:p w:rsidR="00B5487A" w:rsidRDefault="00B5487A" w:rsidP="00B5487A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части 2.6:</w:t>
      </w:r>
    </w:p>
    <w:p w:rsidR="008A2866" w:rsidRDefault="00B5487A" w:rsidP="00B5487A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первом абзаце после слов "</w:t>
      </w:r>
      <w:r w:rsidRPr="00195C6F">
        <w:rPr>
          <w:szCs w:val="28"/>
        </w:rPr>
        <w:t>гражданским служащим</w:t>
      </w:r>
      <w:r>
        <w:rPr>
          <w:szCs w:val="28"/>
        </w:rPr>
        <w:t>" дополнить словами ",</w:t>
      </w:r>
      <w:r w:rsidR="004F476E">
        <w:rPr>
          <w:szCs w:val="28"/>
        </w:rPr>
        <w:t xml:space="preserve"> </w:t>
      </w:r>
      <w:r>
        <w:rPr>
          <w:szCs w:val="28"/>
        </w:rPr>
        <w:t>за исключением гражданских служащих, замещающих должности руководителей исполнительных органов государственной власти Камчатского края,";</w:t>
      </w:r>
    </w:p>
    <w:p w:rsidR="00B5487A" w:rsidRDefault="00B5487A" w:rsidP="00B5487A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"а" признать утратившим силу;</w:t>
      </w:r>
    </w:p>
    <w:p w:rsidR="00B5487A" w:rsidRDefault="00B5487A" w:rsidP="00B5487A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часть 2.7 изложить в следующей редакции:</w:t>
      </w:r>
    </w:p>
    <w:p w:rsidR="00B5487A" w:rsidRDefault="00B5487A" w:rsidP="00B548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"2.7. </w:t>
      </w:r>
      <w:r w:rsidRPr="00884362">
        <w:rPr>
          <w:szCs w:val="28"/>
        </w:rPr>
        <w:t xml:space="preserve">Предложения, указанные в </w:t>
      </w:r>
      <w:r>
        <w:rPr>
          <w:szCs w:val="28"/>
        </w:rPr>
        <w:t>части 2.6</w:t>
      </w:r>
      <w:r w:rsidRPr="00884362">
        <w:rPr>
          <w:szCs w:val="28"/>
        </w:rPr>
        <w:t xml:space="preserve"> настоящего раздела, представляются при назначении лица на должность гражданской службы, а в последующем ежегодно не позднее 10 декабря в Главное управление государственной службы, кадровую службу.</w:t>
      </w:r>
      <w:r w:rsidR="0057495D">
        <w:rPr>
          <w:szCs w:val="28"/>
        </w:rPr>
        <w:t>";</w:t>
      </w:r>
    </w:p>
    <w:p w:rsidR="004F476E" w:rsidRDefault="00283124" w:rsidP="00283124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абзац первый </w:t>
      </w:r>
      <w:r w:rsidR="0057495D">
        <w:rPr>
          <w:szCs w:val="28"/>
        </w:rPr>
        <w:t>част</w:t>
      </w:r>
      <w:r>
        <w:rPr>
          <w:szCs w:val="28"/>
        </w:rPr>
        <w:t>и</w:t>
      </w:r>
      <w:r w:rsidR="0057495D">
        <w:rPr>
          <w:szCs w:val="28"/>
        </w:rPr>
        <w:t xml:space="preserve"> 2.8 после слов </w:t>
      </w:r>
      <w:r w:rsidR="004F476E">
        <w:rPr>
          <w:szCs w:val="28"/>
        </w:rPr>
        <w:t>"</w:t>
      </w:r>
      <w:r w:rsidR="004F476E" w:rsidRPr="00884362">
        <w:rPr>
          <w:szCs w:val="28"/>
        </w:rPr>
        <w:t>гражданского служащего</w:t>
      </w:r>
      <w:r w:rsidR="004F476E">
        <w:rPr>
          <w:szCs w:val="28"/>
        </w:rPr>
        <w:t>" дополнить словами ", за исключением гражданских служащих, замещающих должности руководителей исполнительных органов государственной власти Камчатского края,";</w:t>
      </w:r>
    </w:p>
    <w:p w:rsidR="0057495D" w:rsidRDefault="004F476E" w:rsidP="00283124">
      <w:pPr>
        <w:pStyle w:val="ac"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часть 2.9 изложить в следующей редакции:</w:t>
      </w:r>
    </w:p>
    <w:p w:rsidR="004F476E" w:rsidRPr="00884362" w:rsidRDefault="004F476E" w:rsidP="004F476E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"</w:t>
      </w:r>
      <w:r w:rsidRPr="004F476E">
        <w:t xml:space="preserve"> </w:t>
      </w:r>
      <w:r w:rsidRPr="004F476E">
        <w:rPr>
          <w:szCs w:val="28"/>
        </w:rPr>
        <w:t>2.9.</w:t>
      </w:r>
      <w:r w:rsidRPr="004F476E">
        <w:rPr>
          <w:szCs w:val="28"/>
        </w:rPr>
        <w:tab/>
        <w:t>При успешном завершении испытания гражданскими служащими, указанными в части 2.8 настоящего раздела, а также при изменении в текущем году характера профессиональной служебной деятельности гражданского служащего</w:t>
      </w:r>
      <w:r>
        <w:rPr>
          <w:szCs w:val="28"/>
        </w:rPr>
        <w:t xml:space="preserve">, за исключением гражданских служащих, замещающих должности руководителей исполнительных органов государственной власти Камчатского </w:t>
      </w:r>
      <w:r>
        <w:rPr>
          <w:szCs w:val="28"/>
        </w:rPr>
        <w:lastRenderedPageBreak/>
        <w:t xml:space="preserve">края, </w:t>
      </w:r>
      <w:r w:rsidRPr="004F476E">
        <w:rPr>
          <w:szCs w:val="28"/>
        </w:rPr>
        <w:t>размер ежемесячной надбавки за особые условия мож</w:t>
      </w:r>
      <w:r>
        <w:rPr>
          <w:szCs w:val="28"/>
        </w:rPr>
        <w:t>ет быть изменен в пределах уста</w:t>
      </w:r>
      <w:r w:rsidRPr="004F476E">
        <w:rPr>
          <w:szCs w:val="28"/>
        </w:rPr>
        <w:t>новленных размеров в соответствии с частью 1.4 раздела 1 настоящего Положения.</w:t>
      </w:r>
      <w:r>
        <w:rPr>
          <w:szCs w:val="28"/>
        </w:rPr>
        <w:t>";</w:t>
      </w:r>
    </w:p>
    <w:p w:rsidR="004F476E" w:rsidRDefault="004F476E" w:rsidP="004F476E">
      <w:pPr>
        <w:pStyle w:val="ac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FE04CE">
        <w:rPr>
          <w:szCs w:val="28"/>
        </w:rPr>
        <w:t xml:space="preserve">в разделе </w:t>
      </w:r>
      <w:r>
        <w:rPr>
          <w:szCs w:val="28"/>
        </w:rPr>
        <w:t>3</w:t>
      </w:r>
      <w:r w:rsidRPr="00FE04CE">
        <w:rPr>
          <w:szCs w:val="28"/>
        </w:rPr>
        <w:t>:</w:t>
      </w:r>
    </w:p>
    <w:p w:rsidR="00595692" w:rsidRDefault="00595692" w:rsidP="00595692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часть 3.3 изложить в следующей редакции:</w:t>
      </w:r>
    </w:p>
    <w:p w:rsidR="00595692" w:rsidRDefault="00595692" w:rsidP="00595692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"3.3. </w:t>
      </w:r>
      <w:r w:rsidRPr="00595692">
        <w:rPr>
          <w:szCs w:val="28"/>
        </w:rPr>
        <w:t xml:space="preserve">При определении размера премии </w:t>
      </w:r>
      <w:r>
        <w:rPr>
          <w:szCs w:val="28"/>
        </w:rPr>
        <w:t>лицам</w:t>
      </w:r>
      <w:r w:rsidRPr="00595692">
        <w:rPr>
          <w:szCs w:val="28"/>
        </w:rPr>
        <w:t>, замещающ</w:t>
      </w:r>
      <w:r>
        <w:rPr>
          <w:szCs w:val="28"/>
        </w:rPr>
        <w:t>им</w:t>
      </w:r>
      <w:r w:rsidRPr="00595692">
        <w:rPr>
          <w:szCs w:val="28"/>
        </w:rPr>
        <w:t xml:space="preserve"> государственн</w:t>
      </w:r>
      <w:r>
        <w:rPr>
          <w:szCs w:val="28"/>
        </w:rPr>
        <w:t>ые должности</w:t>
      </w:r>
      <w:r w:rsidRPr="00595692">
        <w:rPr>
          <w:szCs w:val="28"/>
        </w:rPr>
        <w:t xml:space="preserve">, </w:t>
      </w:r>
      <w:r>
        <w:rPr>
          <w:szCs w:val="28"/>
        </w:rPr>
        <w:t xml:space="preserve">гражданским служащим, замещающим должности руководителей исполнительных органов государственной власти Камчатского края, </w:t>
      </w:r>
      <w:r w:rsidRPr="00595692">
        <w:rPr>
          <w:szCs w:val="28"/>
        </w:rPr>
        <w:t>учитываются</w:t>
      </w:r>
      <w:r>
        <w:rPr>
          <w:szCs w:val="28"/>
        </w:rPr>
        <w:t>:</w:t>
      </w:r>
    </w:p>
    <w:p w:rsidR="00595692" w:rsidRPr="00595692" w:rsidRDefault="00595692" w:rsidP="00595692">
      <w:pPr>
        <w:pStyle w:val="ac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95692">
        <w:rPr>
          <w:szCs w:val="28"/>
        </w:rPr>
        <w:t>результаты оценки эффективности деятельности лиц</w:t>
      </w:r>
      <w:r>
        <w:rPr>
          <w:szCs w:val="28"/>
        </w:rPr>
        <w:t>,</w:t>
      </w:r>
      <w:r w:rsidRPr="00595692">
        <w:rPr>
          <w:szCs w:val="28"/>
        </w:rPr>
        <w:t xml:space="preserve"> замещающих государственные должности, гражданских служащих, замещающих должности руководителей исполнительных органов государственной власти Камчатского края, основанной на достижении показателей результативности их деятельности, утвержд</w:t>
      </w:r>
      <w:r w:rsidR="00283124">
        <w:rPr>
          <w:szCs w:val="28"/>
        </w:rPr>
        <w:t>аемы</w:t>
      </w:r>
      <w:r w:rsidRPr="00595692">
        <w:rPr>
          <w:szCs w:val="28"/>
        </w:rPr>
        <w:t>х распоряжени</w:t>
      </w:r>
      <w:r w:rsidR="00283124">
        <w:rPr>
          <w:szCs w:val="28"/>
        </w:rPr>
        <w:t>ем Губернатора Камчатского края;</w:t>
      </w:r>
    </w:p>
    <w:p w:rsidR="00595692" w:rsidRPr="00595692" w:rsidRDefault="00595692" w:rsidP="00595692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95692">
        <w:rPr>
          <w:szCs w:val="28"/>
        </w:rPr>
        <w:t>наличие взыскания за дисциплинарный проступок, за несоблюдение ограничений, обязанностей и запретов, установленных Федеральным законом от 25.12.2008 № 273-ФЗ "О противодействии коррупции" и другими федеральными законами, решение о применении которого принято в период за который осуществляется премирование.</w:t>
      </w:r>
      <w:r w:rsidR="00283124">
        <w:rPr>
          <w:szCs w:val="28"/>
        </w:rPr>
        <w:t>";</w:t>
      </w:r>
      <w:r w:rsidRPr="00595692">
        <w:rPr>
          <w:szCs w:val="28"/>
        </w:rPr>
        <w:t xml:space="preserve"> </w:t>
      </w:r>
    </w:p>
    <w:p w:rsidR="00595692" w:rsidRDefault="006869E0" w:rsidP="00595692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часть 3.4 после слов "гражданскому служащему" дополнить словами ", за исключением гражданских служащих, замещающих должности руководителей исполнительных органов государственной власти Камчатского края,";</w:t>
      </w:r>
    </w:p>
    <w:p w:rsidR="006869E0" w:rsidRDefault="006869E0" w:rsidP="00595692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часть 3.6 изложить в следующей редакции:</w:t>
      </w:r>
    </w:p>
    <w:p w:rsidR="006869E0" w:rsidRPr="00884362" w:rsidRDefault="006869E0" w:rsidP="006869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"3.6. </w:t>
      </w:r>
      <w:r w:rsidRPr="00AC2559">
        <w:rPr>
          <w:szCs w:val="28"/>
        </w:rPr>
        <w:t xml:space="preserve">Решение о премировании </w:t>
      </w:r>
      <w:r>
        <w:rPr>
          <w:szCs w:val="28"/>
        </w:rPr>
        <w:t xml:space="preserve">гражданских служащих, за исключением гражданских служащих, замещающих должности руководителей исполнительных органов государственной власти Камчатского края, </w:t>
      </w:r>
      <w:r w:rsidRPr="005E50DA">
        <w:rPr>
          <w:szCs w:val="28"/>
        </w:rPr>
        <w:t>принимается</w:t>
      </w:r>
      <w:r w:rsidRPr="00AC2559">
        <w:rPr>
          <w:szCs w:val="28"/>
        </w:rPr>
        <w:t xml:space="preserve"> на основании представления об оценке выполнения особо важных и сложных заданий, оформляемого по форме согласно приложению к настоящему Положению</w:t>
      </w:r>
      <w:r>
        <w:rPr>
          <w:szCs w:val="28"/>
        </w:rPr>
        <w:t xml:space="preserve">, которое готовится в </w:t>
      </w:r>
      <w:r w:rsidRPr="00884362">
        <w:rPr>
          <w:szCs w:val="28"/>
        </w:rPr>
        <w:t>порядке, предусмотренном част</w:t>
      </w:r>
      <w:r>
        <w:rPr>
          <w:szCs w:val="28"/>
        </w:rPr>
        <w:t>ью</w:t>
      </w:r>
      <w:r w:rsidRPr="00884362">
        <w:rPr>
          <w:szCs w:val="28"/>
        </w:rPr>
        <w:t xml:space="preserve"> 2.6 раздела 2 настоящего Положения, и представляется в Главное управление государственной службы, кадровую службу</w:t>
      </w:r>
      <w:r w:rsidR="00283124">
        <w:rPr>
          <w:szCs w:val="28"/>
        </w:rPr>
        <w:t xml:space="preserve"> не позднее 5-го числа месяца, следующего за отчетным</w:t>
      </w:r>
      <w:r w:rsidRPr="00884362">
        <w:rPr>
          <w:szCs w:val="28"/>
        </w:rPr>
        <w:t>.</w:t>
      </w:r>
      <w:r>
        <w:rPr>
          <w:szCs w:val="28"/>
        </w:rPr>
        <w:t>";</w:t>
      </w:r>
    </w:p>
    <w:p w:rsidR="000D2AEE" w:rsidRDefault="006869E0" w:rsidP="006869E0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часть 3.7 изложить в следующей редакции:</w:t>
      </w:r>
    </w:p>
    <w:p w:rsidR="006869E0" w:rsidRDefault="006869E0" w:rsidP="006869E0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"3.7. </w:t>
      </w:r>
      <w:r w:rsidR="00283124">
        <w:rPr>
          <w:szCs w:val="28"/>
        </w:rPr>
        <w:t>Выплата премии</w:t>
      </w:r>
      <w:r w:rsidRPr="00884362">
        <w:rPr>
          <w:szCs w:val="28"/>
        </w:rPr>
        <w:t xml:space="preserve"> </w:t>
      </w:r>
      <w:r w:rsidR="00283124">
        <w:rPr>
          <w:szCs w:val="28"/>
        </w:rPr>
        <w:t>по результатам работы за месяц производится не позднее</w:t>
      </w:r>
      <w:r w:rsidRPr="00884362">
        <w:rPr>
          <w:szCs w:val="28"/>
        </w:rPr>
        <w:t xml:space="preserve"> 20 числа месяца</w:t>
      </w:r>
      <w:r>
        <w:rPr>
          <w:szCs w:val="28"/>
        </w:rPr>
        <w:t>, следующего за</w:t>
      </w:r>
      <w:r w:rsidR="00D076BD">
        <w:rPr>
          <w:szCs w:val="28"/>
        </w:rPr>
        <w:t xml:space="preserve"> отчетным.";</w:t>
      </w:r>
    </w:p>
    <w:p w:rsidR="00D076BD" w:rsidRDefault="00482AFE" w:rsidP="00D076BD">
      <w:pPr>
        <w:pStyle w:val="ac"/>
        <w:numPr>
          <w:ilvl w:val="1"/>
          <w:numId w:val="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D076BD">
        <w:rPr>
          <w:szCs w:val="28"/>
        </w:rPr>
        <w:t>риложение</w:t>
      </w:r>
      <w:r>
        <w:rPr>
          <w:szCs w:val="28"/>
        </w:rPr>
        <w:t xml:space="preserve"> изложить в редакции согласно приложению к настоящему постановлению</w:t>
      </w:r>
      <w:r w:rsidR="00435EE2">
        <w:rPr>
          <w:szCs w:val="28"/>
        </w:rPr>
        <w:t>.</w:t>
      </w:r>
    </w:p>
    <w:p w:rsidR="00482AFE" w:rsidRPr="00482AFE" w:rsidRDefault="00482AFE" w:rsidP="00482AFE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 w:rsidRPr="00482AFE">
        <w:rPr>
          <w:bCs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482AFE" w:rsidRDefault="00482AFE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lastRenderedPageBreak/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Default="008279A8" w:rsidP="00DD3F53">
      <w:pPr>
        <w:adjustRightInd w:val="0"/>
        <w:jc w:val="both"/>
        <w:rPr>
          <w:szCs w:val="28"/>
        </w:rPr>
      </w:pPr>
    </w:p>
    <w:p w:rsidR="008279A8" w:rsidRPr="00F60E7C" w:rsidRDefault="00B60245" w:rsidP="008279A8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8D13CF">
        <w:rPr>
          <w:sz w:val="32"/>
          <w:szCs w:val="32"/>
        </w:rPr>
        <w:lastRenderedPageBreak/>
        <w:t xml:space="preserve">     </w:t>
      </w:r>
      <w:r w:rsidR="008279A8" w:rsidRPr="00F60E7C">
        <w:rPr>
          <w:bCs/>
          <w:szCs w:val="28"/>
        </w:rPr>
        <w:t>Пояснительная записка</w:t>
      </w:r>
    </w:p>
    <w:p w:rsidR="008279A8" w:rsidRPr="00087F79" w:rsidRDefault="008279A8" w:rsidP="008279A8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450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076450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Губернатора Камчатского края от 19.03.2020     № 38 "</w:t>
      </w:r>
      <w:r w:rsidRPr="00BF649D">
        <w:rPr>
          <w:rFonts w:ascii="Times New Roman" w:hAnsi="Times New Roman" w:cs="Times New Roman"/>
          <w:sz w:val="28"/>
          <w:szCs w:val="28"/>
        </w:rPr>
        <w:t>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государственной власти Камчатского края</w:t>
      </w:r>
      <w:r w:rsidRPr="001E5BFA">
        <w:rPr>
          <w:rFonts w:ascii="Times New Roman" w:hAnsi="Times New Roman" w:cs="Times New Roman"/>
          <w:sz w:val="28"/>
          <w:szCs w:val="28"/>
        </w:rPr>
        <w:t>"</w:t>
      </w:r>
      <w:r w:rsidRPr="00087F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79A8" w:rsidRDefault="008279A8" w:rsidP="008279A8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:rsidR="008279A8" w:rsidRPr="00087F79" w:rsidRDefault="008279A8" w:rsidP="008279A8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:rsidR="008279A8" w:rsidRPr="002B7B8C" w:rsidRDefault="008279A8" w:rsidP="008279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B7B8C">
        <w:rPr>
          <w:kern w:val="28"/>
          <w:szCs w:val="28"/>
        </w:rPr>
        <w:t xml:space="preserve">Настоящий проект </w:t>
      </w:r>
      <w:r w:rsidRPr="002B7B8C">
        <w:rPr>
          <w:szCs w:val="28"/>
        </w:rPr>
        <w:t xml:space="preserve">разработан в соответствии с </w:t>
      </w:r>
      <w:r>
        <w:rPr>
          <w:szCs w:val="28"/>
        </w:rPr>
        <w:t xml:space="preserve">пунктом 12 перечня поручений ВрИО Губернатора Камчатского края от 12.05.2020 № ПП-2 </w:t>
      </w:r>
      <w:r w:rsidRPr="002B7B8C">
        <w:rPr>
          <w:szCs w:val="28"/>
        </w:rPr>
        <w:t xml:space="preserve"> в </w:t>
      </w:r>
      <w:r>
        <w:rPr>
          <w:szCs w:val="28"/>
        </w:rPr>
        <w:t xml:space="preserve">целях </w:t>
      </w:r>
      <w:r w:rsidRPr="00243FD4">
        <w:rPr>
          <w:szCs w:val="28"/>
        </w:rPr>
        <w:t>формировани</w:t>
      </w:r>
      <w:r>
        <w:rPr>
          <w:szCs w:val="28"/>
        </w:rPr>
        <w:t>я</w:t>
      </w:r>
      <w:r w:rsidRPr="00243FD4">
        <w:rPr>
          <w:szCs w:val="28"/>
        </w:rPr>
        <w:t xml:space="preserve"> системы оценки эффективности деятельности лиц, замещающих государственные должности</w:t>
      </w:r>
      <w:r>
        <w:rPr>
          <w:szCs w:val="28"/>
        </w:rPr>
        <w:t xml:space="preserve"> в Правительстве Камчатского края</w:t>
      </w:r>
      <w:r w:rsidRPr="00243FD4">
        <w:rPr>
          <w:szCs w:val="28"/>
        </w:rPr>
        <w:t xml:space="preserve">, гражданских служащих, замещающих должности руководителей </w:t>
      </w:r>
      <w:r>
        <w:rPr>
          <w:szCs w:val="28"/>
        </w:rPr>
        <w:t xml:space="preserve">иных </w:t>
      </w:r>
      <w:r w:rsidRPr="00243FD4">
        <w:rPr>
          <w:szCs w:val="28"/>
        </w:rPr>
        <w:t>исполнительных органов государственной власти Камчатского края, основанной на достижении показателей результативности их деятельности</w:t>
      </w:r>
      <w:r w:rsidRPr="002B7B8C">
        <w:rPr>
          <w:szCs w:val="28"/>
        </w:rPr>
        <w:t>.</w:t>
      </w:r>
    </w:p>
    <w:p w:rsidR="008279A8" w:rsidRPr="002B7B8C" w:rsidRDefault="008279A8" w:rsidP="008279A8">
      <w:pPr>
        <w:ind w:firstLine="709"/>
        <w:jc w:val="both"/>
        <w:rPr>
          <w:szCs w:val="28"/>
        </w:rPr>
      </w:pPr>
      <w:r w:rsidRPr="002B7B8C">
        <w:rPr>
          <w:szCs w:val="28"/>
        </w:rPr>
        <w:t xml:space="preserve">На реализацию настоящего проекта </w:t>
      </w:r>
      <w:r w:rsidRPr="002B7B8C">
        <w:rPr>
          <w:spacing w:val="5"/>
          <w:szCs w:val="28"/>
        </w:rPr>
        <w:t>постановления</w:t>
      </w:r>
      <w:r w:rsidRPr="002B7B8C">
        <w:rPr>
          <w:szCs w:val="28"/>
        </w:rPr>
        <w:t xml:space="preserve"> Губернатора Камчатского края не потребуется выделения дополнительных денежных средств из краевого бюджета.</w:t>
      </w:r>
    </w:p>
    <w:p w:rsidR="008279A8" w:rsidRPr="002B7B8C" w:rsidRDefault="008279A8" w:rsidP="008279A8">
      <w:pPr>
        <w:ind w:firstLine="709"/>
        <w:jc w:val="both"/>
        <w:rPr>
          <w:szCs w:val="28"/>
        </w:rPr>
      </w:pPr>
      <w:r w:rsidRPr="002B7B8C">
        <w:rPr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szCs w:val="28"/>
        </w:rPr>
        <w:t>20 мая</w:t>
      </w:r>
      <w:r w:rsidRPr="002B7B8C">
        <w:rPr>
          <w:szCs w:val="28"/>
        </w:rPr>
        <w:t xml:space="preserve"> 2020 года до </w:t>
      </w:r>
      <w:r>
        <w:rPr>
          <w:szCs w:val="28"/>
        </w:rPr>
        <w:t>29 мая 2020</w:t>
      </w:r>
      <w:r w:rsidRPr="002B7B8C">
        <w:rPr>
          <w:szCs w:val="28"/>
        </w:rPr>
        <w:t xml:space="preserve"> года.</w:t>
      </w:r>
    </w:p>
    <w:p w:rsidR="008279A8" w:rsidRDefault="008279A8" w:rsidP="008279A8">
      <w:pPr>
        <w:ind w:firstLine="709"/>
        <w:jc w:val="both"/>
        <w:rPr>
          <w:szCs w:val="28"/>
        </w:rPr>
      </w:pPr>
      <w:r w:rsidRPr="002B7B8C">
        <w:rPr>
          <w:szCs w:val="28"/>
        </w:rPr>
        <w:t>В соответствии с постановлением</w:t>
      </w:r>
      <w:r>
        <w:rPr>
          <w:szCs w:val="28"/>
        </w:rPr>
        <w:t xml:space="preserve"> Камчатского края от 06.06.2013            </w:t>
      </w:r>
      <w:r w:rsidRPr="002B7B8C">
        <w:rPr>
          <w:szCs w:val="28"/>
        </w:rPr>
        <w:t>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проект не подлежит оценке регулирующего воздействия.</w:t>
      </w: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Default="008279A8" w:rsidP="008279A8">
      <w:pPr>
        <w:ind w:firstLine="709"/>
        <w:jc w:val="both"/>
        <w:rPr>
          <w:szCs w:val="28"/>
        </w:rPr>
      </w:pPr>
    </w:p>
    <w:p w:rsidR="008279A8" w:rsidRPr="00543759" w:rsidRDefault="008279A8" w:rsidP="008279A8">
      <w:pPr>
        <w:ind w:firstLine="709"/>
        <w:jc w:val="both"/>
        <w:rPr>
          <w:szCs w:val="28"/>
        </w:rPr>
      </w:pPr>
      <w:bookmarkStart w:id="0" w:name="_GoBack"/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8279A8" w:rsidRPr="00EA7632" w:rsidTr="00D80319">
        <w:tc>
          <w:tcPr>
            <w:tcW w:w="5211" w:type="dxa"/>
          </w:tcPr>
          <w:p w:rsidR="008279A8" w:rsidRPr="00FF4448" w:rsidRDefault="008279A8" w:rsidP="00D80319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95" w:type="dxa"/>
          </w:tcPr>
          <w:p w:rsidR="008279A8" w:rsidRPr="00FF4448" w:rsidRDefault="008279A8" w:rsidP="00D80319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Приложение </w:t>
            </w:r>
            <w:r w:rsidRPr="003D139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 п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остановлению</w:t>
            </w:r>
            <w:r w:rsidRPr="00FF444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Губернатора Камчатского края</w:t>
            </w:r>
          </w:p>
          <w:p w:rsidR="008279A8" w:rsidRPr="00FF4448" w:rsidRDefault="008279A8" w:rsidP="00D80319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F444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от "___" _______ № ____</w:t>
            </w:r>
          </w:p>
          <w:p w:rsidR="008279A8" w:rsidRPr="00FF4448" w:rsidRDefault="008279A8" w:rsidP="00D80319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8279A8" w:rsidRPr="00EA7632" w:rsidTr="00D80319">
        <w:tc>
          <w:tcPr>
            <w:tcW w:w="5211" w:type="dxa"/>
          </w:tcPr>
          <w:p w:rsidR="008279A8" w:rsidRPr="008F11AA" w:rsidRDefault="008279A8" w:rsidP="00D803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95" w:type="dxa"/>
          </w:tcPr>
          <w:p w:rsidR="008279A8" w:rsidRPr="00C253E0" w:rsidRDefault="008279A8" w:rsidP="00D80319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"</w:t>
            </w:r>
            <w:r w:rsidRPr="00C253E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Приложение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Cs w:val="28"/>
              </w:rPr>
            </w:pPr>
            <w:r>
              <w:rPr>
                <w:spacing w:val="5"/>
                <w:szCs w:val="28"/>
              </w:rPr>
              <w:t xml:space="preserve">к Положению </w:t>
            </w:r>
            <w:r w:rsidRPr="00785130">
              <w:rPr>
                <w:bCs/>
                <w:szCs w:val="28"/>
              </w:rPr>
              <w:t>о порядке выплаты лицам, замещающим государственные должности Камчатского края, и гражданским служащим Камчатского края в исполнительных органах государственной власти Камчатского края отдельных дополнительных выплат</w:t>
            </w:r>
          </w:p>
          <w:p w:rsidR="008279A8" w:rsidRPr="00C253E0" w:rsidRDefault="008279A8" w:rsidP="00D80319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8279A8" w:rsidRPr="00EA7632" w:rsidTr="00D80319">
        <w:tc>
          <w:tcPr>
            <w:tcW w:w="5211" w:type="dxa"/>
          </w:tcPr>
          <w:p w:rsidR="008279A8" w:rsidRPr="00745354" w:rsidRDefault="008279A8" w:rsidP="00D80319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95" w:type="dxa"/>
          </w:tcPr>
          <w:p w:rsidR="008279A8" w:rsidRPr="00785130" w:rsidRDefault="008279A8" w:rsidP="00D80319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Форма п</w:t>
            </w:r>
            <w:r w:rsidRPr="007851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редставления об оценке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         </w:t>
            </w:r>
            <w:r w:rsidRPr="007851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гражданскими служащими </w:t>
            </w:r>
            <w:r w:rsidRPr="007851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особо важных и сложных заданий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851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для выплаты премии за выполнение особо важных и сложных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851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заданий</w:t>
            </w:r>
          </w:p>
        </w:tc>
      </w:tr>
    </w:tbl>
    <w:p w:rsidR="008279A8" w:rsidRDefault="008279A8" w:rsidP="008279A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279A8" w:rsidRDefault="008279A8" w:rsidP="008279A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279A8" w:rsidRPr="00995C02" w:rsidRDefault="008279A8" w:rsidP="008279A8">
      <w:pPr>
        <w:autoSpaceDE w:val="0"/>
        <w:autoSpaceDN w:val="0"/>
        <w:adjustRightInd w:val="0"/>
        <w:jc w:val="center"/>
        <w:rPr>
          <w:bCs/>
        </w:rPr>
      </w:pPr>
      <w:bookmarkStart w:id="1" w:name="Par61"/>
      <w:bookmarkEnd w:id="1"/>
      <w:r w:rsidRPr="00995C02">
        <w:rPr>
          <w:bCs/>
        </w:rPr>
        <w:t>Представление</w:t>
      </w:r>
    </w:p>
    <w:p w:rsidR="008279A8" w:rsidRDefault="008279A8" w:rsidP="008279A8">
      <w:pPr>
        <w:autoSpaceDE w:val="0"/>
        <w:autoSpaceDN w:val="0"/>
        <w:adjustRightInd w:val="0"/>
        <w:jc w:val="center"/>
        <w:rPr>
          <w:bCs/>
        </w:rPr>
      </w:pPr>
      <w:r w:rsidRPr="00995C02">
        <w:rPr>
          <w:bCs/>
        </w:rPr>
        <w:t xml:space="preserve">об оценке выполнения </w:t>
      </w:r>
      <w:r>
        <w:rPr>
          <w:bCs/>
        </w:rPr>
        <w:t xml:space="preserve">гражданскими служащими </w:t>
      </w:r>
      <w:r w:rsidRPr="00995C02">
        <w:rPr>
          <w:bCs/>
        </w:rPr>
        <w:t xml:space="preserve">особо важных и сложных </w:t>
      </w:r>
      <w:r w:rsidRPr="0067574D">
        <w:rPr>
          <w:bCs/>
        </w:rPr>
        <w:t>заданий</w:t>
      </w:r>
      <w:r w:rsidRPr="00995C02">
        <w:rPr>
          <w:bCs/>
        </w:rPr>
        <w:t xml:space="preserve"> </w:t>
      </w:r>
    </w:p>
    <w:p w:rsidR="008279A8" w:rsidRPr="00D17337" w:rsidRDefault="008279A8" w:rsidP="008279A8">
      <w:pPr>
        <w:autoSpaceDE w:val="0"/>
        <w:autoSpaceDN w:val="0"/>
        <w:adjustRightInd w:val="0"/>
        <w:jc w:val="center"/>
        <w:rPr>
          <w:bCs/>
          <w:strike/>
        </w:rPr>
      </w:pPr>
      <w:r w:rsidRPr="00995C02">
        <w:rPr>
          <w:bCs/>
        </w:rPr>
        <w:t xml:space="preserve">для выплаты премии за выполнение особо важных и сложных </w:t>
      </w:r>
      <w:r w:rsidRPr="0067574D">
        <w:rPr>
          <w:bCs/>
        </w:rPr>
        <w:t>заданий</w:t>
      </w:r>
    </w:p>
    <w:p w:rsidR="008279A8" w:rsidRDefault="008279A8" w:rsidP="008279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985"/>
        <w:gridCol w:w="1389"/>
        <w:gridCol w:w="1559"/>
        <w:gridCol w:w="1984"/>
      </w:tblGrid>
      <w:tr w:rsidR="008279A8" w:rsidRPr="00B52F96" w:rsidTr="00D80319">
        <w:tc>
          <w:tcPr>
            <w:tcW w:w="534" w:type="dxa"/>
            <w:shd w:val="clear" w:color="auto" w:fill="auto"/>
          </w:tcPr>
          <w:p w:rsidR="008279A8" w:rsidRPr="00005FBA" w:rsidRDefault="008279A8" w:rsidP="00D803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№ п/п</w:t>
            </w:r>
          </w:p>
        </w:tc>
        <w:tc>
          <w:tcPr>
            <w:tcW w:w="2296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 xml:space="preserve">Фамилия, имя, отчество 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 xml:space="preserve">(при наличии) </w:t>
            </w:r>
            <w:r>
              <w:rPr>
                <w:sz w:val="20"/>
                <w:szCs w:val="20"/>
              </w:rPr>
              <w:t>п</w:t>
            </w:r>
            <w:r w:rsidRPr="00005FBA">
              <w:rPr>
                <w:sz w:val="20"/>
                <w:szCs w:val="20"/>
              </w:rPr>
              <w:t>редстав</w:t>
            </w:r>
            <w:r>
              <w:rPr>
                <w:sz w:val="20"/>
                <w:szCs w:val="20"/>
              </w:rPr>
              <w:t xml:space="preserve">ляемого 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премированию </w:t>
            </w:r>
          </w:p>
          <w:p w:rsidR="008279A8" w:rsidRPr="00005FBA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государственного гражданского служащего в исполнительном органе государственной власти Камчатского края </w:t>
            </w:r>
          </w:p>
        </w:tc>
        <w:tc>
          <w:tcPr>
            <w:tcW w:w="1985" w:type="dxa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8279A8" w:rsidRPr="00005FBA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замещаем</w:t>
            </w:r>
            <w:r>
              <w:rPr>
                <w:sz w:val="20"/>
                <w:szCs w:val="20"/>
              </w:rPr>
              <w:t>ой</w:t>
            </w:r>
            <w:r w:rsidRPr="00005FBA">
              <w:rPr>
                <w:sz w:val="20"/>
                <w:szCs w:val="20"/>
              </w:rPr>
              <w:t xml:space="preserve"> должност</w:t>
            </w:r>
            <w:r>
              <w:rPr>
                <w:sz w:val="20"/>
                <w:szCs w:val="20"/>
              </w:rPr>
              <w:t xml:space="preserve">и и исполнительного органа государственной власти Камчатского края </w:t>
            </w:r>
          </w:p>
        </w:tc>
        <w:tc>
          <w:tcPr>
            <w:tcW w:w="1389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 xml:space="preserve">Краткая оценка выполнения особо важных и сложных </w:t>
            </w:r>
          </w:p>
          <w:p w:rsidR="008279A8" w:rsidRPr="00005FBA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заданий</w:t>
            </w:r>
          </w:p>
        </w:tc>
        <w:tc>
          <w:tcPr>
            <w:tcW w:w="1559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Предлагаемый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 xml:space="preserve">размер премии 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за выполнение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 xml:space="preserve">особо важных и сложных </w:t>
            </w:r>
          </w:p>
          <w:p w:rsidR="008279A8" w:rsidRPr="00005FBA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заданий</w:t>
            </w:r>
          </w:p>
        </w:tc>
        <w:tc>
          <w:tcPr>
            <w:tcW w:w="1984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 xml:space="preserve">Период, предлагаемый в качестве 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расчетного для начисления</w:t>
            </w:r>
            <w:r>
              <w:rPr>
                <w:sz w:val="20"/>
                <w:szCs w:val="20"/>
              </w:rPr>
              <w:t xml:space="preserve"> </w:t>
            </w:r>
            <w:r w:rsidRPr="00005FBA">
              <w:rPr>
                <w:sz w:val="20"/>
                <w:szCs w:val="20"/>
              </w:rPr>
              <w:t xml:space="preserve">премии 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005FBA">
              <w:rPr>
                <w:sz w:val="20"/>
                <w:szCs w:val="20"/>
              </w:rPr>
              <w:t xml:space="preserve">выполнение особо важных и сложных заданий (месяц, 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квартал, полугодие,</w:t>
            </w:r>
          </w:p>
          <w:p w:rsidR="008279A8" w:rsidRPr="00005FBA" w:rsidRDefault="008279A8" w:rsidP="00D80319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9 месяцев, год)</w:t>
            </w:r>
          </w:p>
        </w:tc>
      </w:tr>
      <w:tr w:rsidR="008279A8" w:rsidRPr="00E34DFD" w:rsidTr="00D80319">
        <w:tc>
          <w:tcPr>
            <w:tcW w:w="534" w:type="dxa"/>
            <w:shd w:val="clear" w:color="auto" w:fill="auto"/>
          </w:tcPr>
          <w:p w:rsidR="008279A8" w:rsidRPr="00995C02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8279A8" w:rsidRPr="00995C02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279A8" w:rsidRPr="00995C02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8279A8" w:rsidRPr="00995C02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279A8" w:rsidRPr="00995C02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279A8" w:rsidRPr="00995C02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279A8" w:rsidRPr="00E34DFD" w:rsidTr="00D80319">
        <w:tc>
          <w:tcPr>
            <w:tcW w:w="534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279A8" w:rsidRPr="00E162F8" w:rsidRDefault="008279A8" w:rsidP="008279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79A8" w:rsidRDefault="008279A8" w:rsidP="008279A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9"/>
        <w:gridCol w:w="421"/>
        <w:gridCol w:w="2797"/>
        <w:gridCol w:w="282"/>
        <w:gridCol w:w="2798"/>
      </w:tblGrid>
      <w:tr w:rsidR="008279A8" w:rsidTr="00D80319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</w:tr>
      <w:tr w:rsidR="008279A8" w:rsidTr="00D80319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8279A8" w:rsidRPr="0000563E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t xml:space="preserve">(Наименование должности должностного лица, </w:t>
            </w:r>
          </w:p>
          <w:p w:rsidR="008279A8" w:rsidRPr="0000563E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t>представляющего представление)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279A8" w:rsidRPr="0000563E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279A8" w:rsidRPr="0000563E" w:rsidRDefault="008279A8" w:rsidP="00D803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279A8" w:rsidRPr="0000563E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63E">
              <w:rPr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8279A8" w:rsidTr="00D80319">
        <w:tc>
          <w:tcPr>
            <w:tcW w:w="3369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  <w:r>
              <w:t>Согласовано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</w:tr>
      <w:tr w:rsidR="008279A8" w:rsidTr="00D80319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</w:tr>
      <w:tr w:rsidR="008279A8" w:rsidTr="00D80319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8279A8" w:rsidRPr="0000563E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lastRenderedPageBreak/>
              <w:t>(Наименование должности должностного лица, по согласованию с которым представляется представление)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</w:t>
            </w:r>
          </w:p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279A8" w:rsidRPr="0000563E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279A8" w:rsidRPr="0000563E" w:rsidRDefault="008279A8" w:rsidP="00D803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279A8" w:rsidRDefault="008279A8" w:rsidP="00D80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t>(фамилия, инициалы)</w:t>
            </w:r>
          </w:p>
          <w:p w:rsidR="008279A8" w:rsidRDefault="008279A8" w:rsidP="00D80319">
            <w:pPr>
              <w:rPr>
                <w:sz w:val="20"/>
                <w:szCs w:val="20"/>
              </w:rPr>
            </w:pPr>
          </w:p>
          <w:p w:rsidR="008279A8" w:rsidRPr="00FF4448" w:rsidRDefault="008279A8" w:rsidP="00D80319">
            <w:pPr>
              <w:jc w:val="right"/>
              <w:rPr>
                <w:szCs w:val="28"/>
              </w:rPr>
            </w:pPr>
            <w:r w:rsidRPr="00FF4448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</w:tc>
      </w:tr>
    </w:tbl>
    <w:p w:rsidR="008279A8" w:rsidRDefault="008279A8" w:rsidP="008279A8"/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49" w:rsidRDefault="00085249" w:rsidP="00342D13">
      <w:r>
        <w:separator/>
      </w:r>
    </w:p>
  </w:endnote>
  <w:endnote w:type="continuationSeparator" w:id="0">
    <w:p w:rsidR="00085249" w:rsidRDefault="0008524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49" w:rsidRDefault="00085249" w:rsidP="00342D13">
      <w:r>
        <w:separator/>
      </w:r>
    </w:p>
  </w:footnote>
  <w:footnote w:type="continuationSeparator" w:id="0">
    <w:p w:rsidR="00085249" w:rsidRDefault="0008524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8EB"/>
    <w:multiLevelType w:val="hybridMultilevel"/>
    <w:tmpl w:val="D83AE6DC"/>
    <w:lvl w:ilvl="0" w:tplc="A7E0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E4FF5"/>
    <w:multiLevelType w:val="multilevel"/>
    <w:tmpl w:val="EF24C2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9B174E"/>
    <w:multiLevelType w:val="hybridMultilevel"/>
    <w:tmpl w:val="952677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9F04B9"/>
    <w:multiLevelType w:val="hybridMultilevel"/>
    <w:tmpl w:val="C1A4420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DE45D20"/>
    <w:multiLevelType w:val="hybridMultilevel"/>
    <w:tmpl w:val="BEBEEF26"/>
    <w:lvl w:ilvl="0" w:tplc="0DA034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1A111F"/>
    <w:multiLevelType w:val="hybridMultilevel"/>
    <w:tmpl w:val="BEBEEF26"/>
    <w:lvl w:ilvl="0" w:tplc="0DA034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B51352"/>
    <w:multiLevelType w:val="hybridMultilevel"/>
    <w:tmpl w:val="26C25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A36A811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0B7F90"/>
    <w:multiLevelType w:val="hybridMultilevel"/>
    <w:tmpl w:val="B7667490"/>
    <w:lvl w:ilvl="0" w:tplc="408A3EF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03CE5"/>
    <w:multiLevelType w:val="multilevel"/>
    <w:tmpl w:val="B2C6F21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7956E18"/>
    <w:multiLevelType w:val="hybridMultilevel"/>
    <w:tmpl w:val="9CBEA3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85249"/>
    <w:rsid w:val="000C1841"/>
    <w:rsid w:val="000D2AEE"/>
    <w:rsid w:val="001723D0"/>
    <w:rsid w:val="00191854"/>
    <w:rsid w:val="00196836"/>
    <w:rsid w:val="001A2058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83124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12D30"/>
    <w:rsid w:val="00435EE2"/>
    <w:rsid w:val="00441A91"/>
    <w:rsid w:val="00460247"/>
    <w:rsid w:val="0046790E"/>
    <w:rsid w:val="0048068C"/>
    <w:rsid w:val="0048261B"/>
    <w:rsid w:val="00482AFE"/>
    <w:rsid w:val="004D492F"/>
    <w:rsid w:val="004D79DB"/>
    <w:rsid w:val="004F0472"/>
    <w:rsid w:val="004F476E"/>
    <w:rsid w:val="00511A74"/>
    <w:rsid w:val="00512C6C"/>
    <w:rsid w:val="005709CE"/>
    <w:rsid w:val="0057495D"/>
    <w:rsid w:val="00595692"/>
    <w:rsid w:val="005E22DD"/>
    <w:rsid w:val="005F0B57"/>
    <w:rsid w:val="005F2BC6"/>
    <w:rsid w:val="00621A0F"/>
    <w:rsid w:val="006317BF"/>
    <w:rsid w:val="006604E4"/>
    <w:rsid w:val="006650EC"/>
    <w:rsid w:val="006869E0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279A8"/>
    <w:rsid w:val="0083039A"/>
    <w:rsid w:val="00832E23"/>
    <w:rsid w:val="008434A6"/>
    <w:rsid w:val="00854C28"/>
    <w:rsid w:val="00856C9C"/>
    <w:rsid w:val="00863BE3"/>
    <w:rsid w:val="00863EEF"/>
    <w:rsid w:val="00882D55"/>
    <w:rsid w:val="008A2866"/>
    <w:rsid w:val="008B7954"/>
    <w:rsid w:val="008D13CF"/>
    <w:rsid w:val="008F114E"/>
    <w:rsid w:val="008F586A"/>
    <w:rsid w:val="00902E97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233B"/>
    <w:rsid w:val="00A96A62"/>
    <w:rsid w:val="00AA37F0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5487A"/>
    <w:rsid w:val="00B60245"/>
    <w:rsid w:val="00B74965"/>
    <w:rsid w:val="00BA2CFB"/>
    <w:rsid w:val="00BA2D9F"/>
    <w:rsid w:val="00BC35EA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076BD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0D0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A11B3"/>
    <w:rsid w:val="00FB6E5E"/>
    <w:rsid w:val="00FD68ED"/>
    <w:rsid w:val="00FE04CE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E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1FD0-D33F-4377-8AF3-62EE6D4B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9623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Мишарина Александра Вадимовна</cp:lastModifiedBy>
  <cp:revision>8</cp:revision>
  <cp:lastPrinted>2020-05-20T02:56:00Z</cp:lastPrinted>
  <dcterms:created xsi:type="dcterms:W3CDTF">2020-05-12T02:48:00Z</dcterms:created>
  <dcterms:modified xsi:type="dcterms:W3CDTF">2020-05-20T05:17:00Z</dcterms:modified>
</cp:coreProperties>
</file>