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Повестка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Основные ограничения в сфере розничной продажи алкогольной продукции на территории Камчатского края</w:t>
      </w:r>
      <w:r>
        <w:rPr>
          <w:rFonts w:ascii="Times New Roman" w:hAnsi="Times New Roman"/>
          <w:b w:val="1"/>
          <w:sz w:val="28"/>
        </w:rPr>
        <w:t>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 руководством </w:t>
      </w:r>
      <w:r>
        <w:rPr>
          <w:rFonts w:ascii="Times New Roman" w:hAnsi="Times New Roman"/>
          <w:sz w:val="26"/>
        </w:rPr>
        <w:t>заместителя Министра экономического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Камчатского края </w:t>
      </w:r>
      <w:r>
        <w:rPr>
          <w:rFonts w:ascii="Times New Roman" w:hAnsi="Times New Roman"/>
          <w:sz w:val="26"/>
        </w:rPr>
        <w:t>Бакниной</w:t>
      </w:r>
      <w:r>
        <w:rPr>
          <w:rFonts w:ascii="Times New Roman" w:hAnsi="Times New Roman"/>
          <w:sz w:val="26"/>
        </w:rPr>
        <w:t xml:space="preserve"> О.Н.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Прямой эфир</w:t>
      </w:r>
    </w:p>
    <w:p w14:paraId="0B000000">
      <w:pPr>
        <w:tabs>
          <w:tab w:leader="none" w:pos="0" w:val="left"/>
          <w:tab w:leader="none" w:pos="9355" w:val="righ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15.09.2023 в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:00    </w:t>
      </w:r>
    </w:p>
    <w:p w14:paraId="0C000000">
      <w:pPr>
        <w:tabs>
          <w:tab w:leader="none" w:pos="0" w:val="left"/>
          <w:tab w:leader="none" w:pos="9355" w:val="righ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0056B3"/>
          <w:spacing w:val="0"/>
          <w:sz w:val="24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56B3"/>
          <w:spacing w:val="0"/>
          <w:sz w:val="24"/>
          <w:u w:color="000000" w:val="single"/>
        </w:rPr>
        <w:instrText>HYPERLINK "https://vk.com/wall-161408578_2254"</w:instrText>
      </w:r>
      <w:r>
        <w:rPr>
          <w:rFonts w:ascii="Times New Roman" w:hAnsi="Times New Roman"/>
          <w:b w:val="0"/>
          <w:i w:val="0"/>
          <w:caps w:val="0"/>
          <w:color w:val="0056B3"/>
          <w:spacing w:val="0"/>
          <w:sz w:val="24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56B3"/>
          <w:spacing w:val="0"/>
          <w:sz w:val="24"/>
          <w:u w:color="000000" w:val="single"/>
        </w:rPr>
        <w:t>https://vk.com/wall-161408578_2254</w:t>
      </w:r>
      <w:r>
        <w:rPr>
          <w:rFonts w:ascii="Times New Roman" w:hAnsi="Times New Roman"/>
          <w:b w:val="0"/>
          <w:i w:val="0"/>
          <w:caps w:val="0"/>
          <w:color w:val="0056B3"/>
          <w:spacing w:val="0"/>
          <w:sz w:val="24"/>
          <w:u w:color="000000" w:val="single"/>
        </w:rPr>
        <w:fldChar w:fldCharType="end"/>
      </w:r>
    </w:p>
    <w:p w14:paraId="0D000000">
      <w:pPr>
        <w:tabs>
          <w:tab w:leader="none" w:pos="0" w:val="left"/>
          <w:tab w:leader="none" w:pos="9355" w:val="righ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tbl>
      <w:tblPr>
        <w:tblStyle w:val="Style_1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55"/>
        <w:gridCol w:w="8266"/>
      </w:tblGrid>
      <w:tr>
        <w:trPr>
          <w:trHeight w:hRule="atLeast" w:val="38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09:50 – 10:00</w:t>
            </w: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участников</w:t>
            </w:r>
          </w:p>
        </w:tc>
      </w:tr>
      <w:tr>
        <w:trPr>
          <w:trHeight w:hRule="atLeast" w:val="38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8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</w:t>
            </w: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 w:firstLine="0" w:left="35"/>
              <w:jc w:val="both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Вступительное слово</w:t>
            </w:r>
          </w:p>
          <w:p w14:paraId="14000000">
            <w:pPr>
              <w:spacing w:after="0" w:line="240" w:lineRule="auto"/>
              <w:ind w:firstLine="0" w:left="35"/>
              <w:jc w:val="both"/>
              <w:rPr>
                <w:rFonts w:ascii="Times New Roman" w:hAnsi="Times New Roman"/>
                <w:sz w:val="16"/>
              </w:rPr>
            </w:pPr>
          </w:p>
          <w:p w14:paraId="15000000">
            <w:pPr>
              <w:spacing w:after="0" w:line="240" w:lineRule="auto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Бакнина Ольга Николаевна</w:t>
            </w:r>
            <w:r>
              <w:rPr>
                <w:rFonts w:ascii="Times New Roman" w:hAnsi="Times New Roman"/>
                <w:sz w:val="24"/>
              </w:rPr>
              <w:t xml:space="preserve"> – заместитель Министра - начальник отдела торговли, лицензирования и контроля алкогольной продукции Министерства экономического развития Камчатского края</w:t>
            </w:r>
          </w:p>
          <w:p w14:paraId="16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183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10:05–10:20</w:t>
            </w: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numPr>
                <w:numId w:val="1"/>
              </w:numPr>
              <w:spacing w:line="240" w:lineRule="auto"/>
              <w:ind w:firstLine="0" w:left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Основные ограничения </w:t>
            </w:r>
            <w:r>
              <w:rPr>
                <w:rFonts w:ascii="Times New Roman" w:hAnsi="Times New Roman"/>
                <w:b w:val="1"/>
                <w:sz w:val="24"/>
              </w:rPr>
              <w:t>продажи алкогольной продукции, установленные федеральным законодательством.</w:t>
            </w:r>
          </w:p>
          <w:p w14:paraId="19000000">
            <w:pPr>
              <w:numPr>
                <w:numId w:val="1"/>
              </w:numPr>
              <w:spacing w:line="240" w:lineRule="auto"/>
              <w:ind w:firstLine="0" w:left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Дополнительные ограничения продажи алкогольной продукции на территории Камчатского края.</w:t>
            </w:r>
          </w:p>
          <w:p w14:paraId="1A000000">
            <w:pPr>
              <w:numPr>
                <w:numId w:val="1"/>
              </w:numPr>
              <w:spacing w:line="240" w:lineRule="auto"/>
              <w:ind w:firstLine="0" w:left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Мораторий на проведение плановых и внеплановых проверок. Смещение акцента на применение превентивных мер реагирования.</w:t>
            </w:r>
          </w:p>
          <w:p w14:paraId="1B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b w:val="1"/>
                <w:color w:val="000000"/>
                <w:sz w:val="16"/>
              </w:rPr>
            </w:pPr>
          </w:p>
          <w:p w14:paraId="1C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Бакнина Ольга Николаевна</w:t>
            </w:r>
            <w:r>
              <w:rPr>
                <w:rFonts w:ascii="Times New Roman" w:hAnsi="Times New Roman"/>
                <w:sz w:val="24"/>
              </w:rPr>
              <w:t xml:space="preserve"> – заместитель Министра - начальник отдела торговли, лицензирования и контроля алкогольной продукции Министерства экономического развития Камчатского края</w:t>
            </w:r>
          </w:p>
          <w:p w14:paraId="1D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</w:p>
          <w:p w14:paraId="1E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Тетеревенкова Ульяна Александровна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консультант</w:t>
            </w:r>
            <w:r>
              <w:rPr>
                <w:rFonts w:ascii="Times New Roman" w:hAnsi="Times New Roman"/>
                <w:sz w:val="24"/>
              </w:rPr>
              <w:t xml:space="preserve"> отдела торговли, лицензирования и контроля алкогольной продукции Минэкономразвития Камчатского края</w:t>
            </w:r>
          </w:p>
          <w:p w14:paraId="1F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4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10:20</w:t>
            </w: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240" w:lineRule="auto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Обсуждение, ответы на интересующие вопросы.</w:t>
            </w:r>
          </w:p>
        </w:tc>
      </w:tr>
    </w:tbl>
    <w:p w14:paraId="22000000">
      <w:pPr>
        <w:spacing w:line="240" w:lineRule="auto"/>
        <w:ind/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КРАТКАЯ ИНФОРМАЦИЯ</w:t>
      </w:r>
      <w:r>
        <w:rPr>
          <w:rFonts w:ascii="Times New Roman" w:hAnsi="Times New Roman"/>
          <w:b w:val="1"/>
          <w:sz w:val="32"/>
        </w:rPr>
        <w:br/>
      </w:r>
      <w:r>
        <w:rPr>
          <w:rFonts w:ascii="Times New Roman" w:hAnsi="Times New Roman"/>
          <w:b w:val="1"/>
          <w:sz w:val="32"/>
        </w:rPr>
        <w:t xml:space="preserve">ПО ИТОГАМ ПРЯМОГО ЭФИРА 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15.09</w:t>
      </w:r>
      <w:r>
        <w:rPr>
          <w:rFonts w:ascii="Times New Roman" w:hAnsi="Times New Roman"/>
          <w:b w:val="1"/>
          <w:sz w:val="32"/>
        </w:rPr>
        <w:t>.202</w:t>
      </w:r>
      <w:r>
        <w:rPr>
          <w:rFonts w:ascii="Times New Roman" w:hAnsi="Times New Roman"/>
          <w:b w:val="1"/>
          <w:sz w:val="32"/>
        </w:rPr>
        <w:t>3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A000000">
      <w:pPr>
        <w:pStyle w:val="Style_2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32"/>
        </w:rPr>
      </w:pPr>
    </w:p>
    <w:p w14:paraId="2B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Основные требования и ограничения в сфере розничной продажи алкогольной продукции на территории Камчатского края</w:t>
      </w:r>
      <w:r>
        <w:rPr>
          <w:rFonts w:ascii="Times New Roman" w:hAnsi="Times New Roman"/>
          <w:b w:val="1"/>
          <w:sz w:val="28"/>
        </w:rPr>
        <w:t>»</w:t>
      </w:r>
    </w:p>
    <w:p w14:paraId="2C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Законодательство Российской Федерации в области оборота алкогольной и спиртосодержащей продукции состоит из Федерального закона от 22.11.1995 </w:t>
      </w:r>
      <w:r>
        <w:br/>
      </w:r>
      <w:r>
        <w:rPr>
          <w:rFonts w:ascii="Times New Roman" w:hAnsi="Times New Roman"/>
          <w:sz w:val="28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</w:t>
      </w:r>
      <w:r>
        <w:br/>
      </w:r>
      <w:r>
        <w:rPr>
          <w:rFonts w:ascii="Times New Roman" w:hAnsi="Times New Roman"/>
          <w:sz w:val="28"/>
        </w:rPr>
        <w:t>№ 171-ФЗ) и принимаемых в соответствии с ним иных нормативных правовых актов Российской Федерации и Камчатского края, регулирующих отношения в соответствующей сфере.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>Все запреты и ограничения, установленные федеральным и региональным законодательством, являются обязательными требованиями и условиями, которые должны соблюдать организации и индивидуальные предприниматели, осуществляющие розничную продажу алкогольной продукции в том числе при оказании услуг общественного питания.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Краткие основные ограничения, установленные федеральным законодательством:</w:t>
      </w:r>
    </w:p>
    <w:p w14:paraId="30000000">
      <w:pPr>
        <w:numPr>
          <w:numId w:val="2"/>
        </w:numPr>
        <w:spacing w:after="0" w:line="240" w:lineRule="auto"/>
        <w:ind w:hanging="11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Наличие лицензии </w:t>
      </w:r>
      <w:r>
        <w:rPr>
          <w:rFonts w:ascii="Times New Roman" w:hAnsi="Times New Roman"/>
          <w:b w:val="0"/>
          <w:color w:val="000000"/>
          <w:sz w:val="28"/>
        </w:rPr>
        <w:t>(за исключением продажи пива и пивных напитков)</w:t>
      </w:r>
    </w:p>
    <w:p w14:paraId="31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Лицензия выдается отдельно на два вида деятельности:</w:t>
      </w:r>
    </w:p>
    <w:p w14:paraId="32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— на розничную продажу алкогольной продукции (магазин);</w:t>
      </w:r>
    </w:p>
    <w:p w14:paraId="33000000">
      <w:pPr>
        <w:spacing w:after="0" w:line="240" w:lineRule="auto"/>
        <w:ind w:hanging="11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Style w:val="Style_3_ch"/>
          <w:rFonts w:ascii="Times New Roman" w:hAnsi="Times New Roman"/>
          <w:sz w:val="28"/>
        </w:rPr>
        <w:t>— на розничную продажу алкогольной продукции при оказании услуг общественного питания (кафе, бары, рестораны, буфет).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Лицензию вправе получить только юридические лица. Деятельностью по продаже пива и пивных напитков могут заниматься и индивидуальные предприниматели.</w:t>
      </w:r>
    </w:p>
    <w:p w14:paraId="35000000">
      <w:pPr>
        <w:numPr>
          <w:numId w:val="2"/>
        </w:numPr>
        <w:spacing w:after="0" w:line="240" w:lineRule="auto"/>
        <w:ind w:hanging="11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Не допускается продажа алкогольной продукции без ТТН, без ЕГАИС</w:t>
      </w:r>
    </w:p>
    <w:p w14:paraId="36000000">
      <w:pPr>
        <w:numPr>
          <w:numId w:val="2"/>
        </w:numPr>
        <w:spacing w:after="0" w:line="240" w:lineRule="auto"/>
        <w:ind w:hanging="11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Не допускается продажа алкогольной продукции не оклеенной</w:t>
      </w:r>
      <w:r>
        <w:rPr>
          <w:rFonts w:ascii="Times New Roman" w:hAnsi="Times New Roman"/>
          <w:b w:val="1"/>
          <w:color w:val="000000"/>
          <w:sz w:val="28"/>
        </w:rPr>
        <w:t xml:space="preserve"> ФСМ/А</w:t>
      </w:r>
      <w:r>
        <w:rPr>
          <w:rFonts w:ascii="Times New Roman" w:hAnsi="Times New Roman"/>
          <w:b w:val="1"/>
          <w:color w:val="000000"/>
          <w:sz w:val="28"/>
        </w:rPr>
        <w:t xml:space="preserve">М </w:t>
      </w:r>
      <w:r>
        <w:rPr>
          <w:rFonts w:ascii="Times New Roman" w:hAnsi="Times New Roman"/>
          <w:b w:val="0"/>
          <w:color w:val="000000"/>
          <w:sz w:val="28"/>
        </w:rPr>
        <w:t>(пиво не маркируется)</w:t>
      </w:r>
    </w:p>
    <w:p w14:paraId="37000000">
      <w:pPr>
        <w:numPr>
          <w:numId w:val="2"/>
        </w:numPr>
        <w:spacing w:after="0" w:line="240" w:lineRule="auto"/>
        <w:ind w:hanging="11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Не допускается продажа алкогольной продукции</w:t>
      </w:r>
      <w:r>
        <w:rPr>
          <w:rFonts w:ascii="Times New Roman" w:hAnsi="Times New Roman"/>
          <w:b w:val="0"/>
          <w:sz w:val="28"/>
        </w:rPr>
        <w:t>:</w:t>
      </w:r>
    </w:p>
    <w:p w14:paraId="38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зданиях </w:t>
      </w:r>
      <w:r>
        <w:rPr>
          <w:rFonts w:ascii="Times New Roman" w:hAnsi="Times New Roman"/>
          <w:b w:val="0"/>
          <w:sz w:val="28"/>
        </w:rPr>
        <w:t>образовательных организаций;</w:t>
      </w:r>
    </w:p>
    <w:p w14:paraId="39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зданиях </w:t>
      </w:r>
      <w:r>
        <w:rPr>
          <w:rFonts w:ascii="Times New Roman" w:hAnsi="Times New Roman"/>
          <w:b w:val="0"/>
          <w:sz w:val="28"/>
        </w:rPr>
        <w:t>медицинских организаций</w:t>
      </w:r>
      <w:r>
        <w:rPr>
          <w:rFonts w:ascii="Times New Roman" w:hAnsi="Times New Roman"/>
          <w:b w:val="0"/>
          <w:sz w:val="28"/>
        </w:rPr>
        <w:t>;</w:t>
      </w:r>
    </w:p>
    <w:p w14:paraId="3A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зданиях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организаций культуры (за исключением объе</w:t>
      </w:r>
      <w:r>
        <w:rPr>
          <w:rFonts w:ascii="Times New Roman" w:hAnsi="Times New Roman"/>
          <w:b w:val="0"/>
          <w:color w:val="000000"/>
          <w:sz w:val="28"/>
        </w:rPr>
        <w:t>ктов общественного питания в концертных и театральных залах, парках);</w:t>
      </w:r>
    </w:p>
    <w:p w14:paraId="3B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 спортивных сооружениях;</w:t>
      </w:r>
    </w:p>
    <w:p w14:paraId="3C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 оптовых и розничных рынках (за исключением продажи алкоголя с содержанием этилового спирта не более 16,5% (в т.ч. пива) в объектах общественного питания);</w:t>
      </w:r>
    </w:p>
    <w:p w14:paraId="3D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 общественном транспорте, остановках и АЗС;</w:t>
      </w:r>
    </w:p>
    <w:p w14:paraId="3E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объектах военного назначения;</w:t>
      </w:r>
    </w:p>
    <w:p w14:paraId="3F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 вокзалах, в аэропортах (за исключением объектов общественного питания);</w:t>
      </w:r>
    </w:p>
    <w:p w14:paraId="40000000">
      <w:pPr>
        <w:pStyle w:val="Style_3"/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местах нахождения источников повышенной опасности;</w:t>
      </w:r>
    </w:p>
    <w:p w14:paraId="41000000">
      <w:pPr>
        <w:pStyle w:val="Style_3"/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местах массового скопления граждан в период проведения публичных мероприятий;</w:t>
      </w:r>
    </w:p>
    <w:p w14:paraId="42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нестационарных торговых объектах </w:t>
      </w:r>
      <w:r>
        <w:rPr>
          <w:rFonts w:ascii="Times New Roman" w:hAnsi="Times New Roman"/>
          <w:b w:val="0"/>
          <w:color w:val="000000"/>
          <w:sz w:val="28"/>
        </w:rPr>
        <w:t xml:space="preserve"> (за исключением продажи алкоголя с содержанием этилового спирта не более 16,5% (в т.ч. пива) в объектах общественного питания)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43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на прилегающих территориях к </w:t>
      </w:r>
      <w:r>
        <w:rPr>
          <w:rFonts w:ascii="Times New Roman" w:hAnsi="Times New Roman"/>
          <w:b w:val="0"/>
          <w:sz w:val="28"/>
        </w:rPr>
        <w:t xml:space="preserve">зданиям </w:t>
      </w:r>
      <w:r>
        <w:rPr>
          <w:rFonts w:ascii="Times New Roman" w:hAnsi="Times New Roman"/>
          <w:b w:val="0"/>
          <w:sz w:val="28"/>
        </w:rPr>
        <w:t>образовательных организаций</w:t>
      </w:r>
      <w:r>
        <w:rPr>
          <w:rFonts w:ascii="Times New Roman" w:hAnsi="Times New Roman"/>
          <w:b w:val="0"/>
          <w:color w:val="000000"/>
          <w:sz w:val="28"/>
        </w:rPr>
        <w:t xml:space="preserve">; к зданиям организаций, осуществляющих обучение несовершеннолетних; к зданиям медицинских организаций; к спортивным сооружениям (за исключением объектов общественного питания, но не в период проведения детско-юношеских спортивных мероприятий); к объектам военного назначения; к вокзалам и аэропортам; к местам </w:t>
      </w:r>
      <w:r>
        <w:rPr>
          <w:rFonts w:ascii="Times New Roman" w:hAnsi="Times New Roman"/>
          <w:b w:val="0"/>
          <w:color w:val="000000"/>
          <w:sz w:val="28"/>
        </w:rPr>
        <w:t>нахождения источников повышенной опасности;</w:t>
      </w:r>
    </w:p>
    <w:p w14:paraId="44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несовершеннолетним; </w:t>
      </w:r>
    </w:p>
    <w:p w14:paraId="45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без чека;</w:t>
      </w:r>
    </w:p>
    <w:p w14:paraId="46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дистанционным способом;</w:t>
      </w:r>
    </w:p>
    <w:p w14:paraId="47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 полимерной потребительской таре </w:t>
      </w:r>
      <w:r>
        <w:rPr>
          <w:rFonts w:ascii="Times New Roman" w:hAnsi="Times New Roman"/>
          <w:b w:val="0"/>
          <w:color w:val="000000"/>
          <w:sz w:val="28"/>
        </w:rPr>
        <w:t>объемом более 1500 миллилитров.</w:t>
      </w:r>
    </w:p>
    <w:p w14:paraId="48000000">
      <w:pPr>
        <w:numPr>
          <w:numId w:val="2"/>
        </w:numPr>
        <w:spacing w:after="120" w:before="120"/>
        <w:ind w:firstLine="0" w:left="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Розничная продажа алкогольной продукции </w:t>
      </w:r>
      <w:r>
        <w:rPr>
          <w:rFonts w:ascii="Times New Roman" w:hAnsi="Times New Roman"/>
          <w:b w:val="0"/>
          <w:sz w:val="28"/>
          <w:u w:val="single"/>
        </w:rPr>
        <w:t>при оказании услуг общественного питания</w:t>
      </w:r>
      <w:r>
        <w:rPr>
          <w:rFonts w:ascii="Times New Roman" w:hAnsi="Times New Roman"/>
          <w:b w:val="0"/>
          <w:sz w:val="28"/>
        </w:rPr>
        <w:t xml:space="preserve"> осуществляется только </w:t>
      </w:r>
      <w:r>
        <w:rPr>
          <w:rFonts w:ascii="Times New Roman" w:hAnsi="Times New Roman"/>
          <w:b w:val="1"/>
          <w:sz w:val="28"/>
        </w:rPr>
        <w:t>в объектах общественного питания, имеющих</w:t>
      </w:r>
      <w:r>
        <w:rPr>
          <w:rFonts w:ascii="Times New Roman" w:hAnsi="Times New Roman"/>
          <w:b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strike w:val="0"/>
          <w:color w:val="000000"/>
          <w:sz w:val="28"/>
          <w:u w:val="none"/>
        </w:rPr>
        <w:t>з</w:t>
      </w:r>
      <w:r>
        <w:rPr>
          <w:rFonts w:ascii="Times New Roman" w:hAnsi="Times New Roman"/>
          <w:b w:val="1"/>
          <w:strike w:val="0"/>
          <w:color w:val="000000"/>
          <w:sz w:val="28"/>
          <w:u w:val="none"/>
        </w:rPr>
        <w:t>а</w:t>
      </w:r>
      <w:r>
        <w:rPr>
          <w:rFonts w:ascii="Times New Roman" w:hAnsi="Times New Roman"/>
          <w:b w:val="1"/>
          <w:strike w:val="0"/>
          <w:color w:val="000000"/>
          <w:sz w:val="28"/>
          <w:u w:val="none"/>
        </w:rPr>
        <w:t>л обслуживания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 посети</w:t>
      </w:r>
      <w:r>
        <w:rPr>
          <w:rFonts w:ascii="Times New Roman" w:hAnsi="Times New Roman"/>
          <w:b w:val="1"/>
          <w:sz w:val="28"/>
          <w:u w:val="none"/>
        </w:rPr>
        <w:t>телей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sz w:val="28"/>
          <w:u w:val="none"/>
        </w:rPr>
        <w:t xml:space="preserve">и </w:t>
      </w:r>
      <w:r>
        <w:rPr>
          <w:rFonts w:ascii="Times New Roman" w:hAnsi="Times New Roman"/>
          <w:b w:val="1"/>
          <w:sz w:val="28"/>
        </w:rPr>
        <w:t>пр</w:t>
      </w:r>
      <w:r>
        <w:rPr>
          <w:rFonts w:ascii="Times New Roman" w:hAnsi="Times New Roman"/>
          <w:b w:val="1"/>
          <w:sz w:val="28"/>
        </w:rPr>
        <w:t>и условии вскрытия потребительской тары (упаковки)</w:t>
      </w:r>
    </w:p>
    <w:p w14:paraId="49000000">
      <w:pPr>
        <w:numPr>
          <w:numId w:val="2"/>
        </w:numPr>
        <w:spacing w:after="120" w:before="120"/>
        <w:ind w:firstLine="0" w:left="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Розничная продажа алкогольной продукции </w:t>
      </w:r>
      <w:r>
        <w:rPr>
          <w:rFonts w:ascii="Times New Roman" w:hAnsi="Times New Roman"/>
          <w:b w:val="0"/>
          <w:sz w:val="28"/>
          <w:u w:val="single"/>
        </w:rPr>
        <w:t>при оказании услуг общественного питания</w:t>
      </w:r>
      <w:r>
        <w:rPr>
          <w:rFonts w:ascii="Times New Roman" w:hAnsi="Times New Roman"/>
          <w:b w:val="0"/>
          <w:sz w:val="28"/>
        </w:rPr>
        <w:t xml:space="preserve"> в объектах общественного питания, расположенных </w:t>
      </w:r>
      <w:r>
        <w:rPr>
          <w:rFonts w:ascii="Times New Roman" w:hAnsi="Times New Roman"/>
          <w:b w:val="0"/>
          <w:sz w:val="28"/>
          <w:u w:val="single"/>
        </w:rPr>
        <w:t>в многоквартирных домах и (или) на прилегающих к ним территориях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 xml:space="preserve">допускается только в указанных объектах общественного питания, имеющих зал обслуживания посетителей </w:t>
      </w:r>
      <w:r>
        <w:rPr>
          <w:rFonts w:ascii="Times New Roman" w:hAnsi="Times New Roman"/>
          <w:b w:val="0"/>
          <w:sz w:val="28"/>
        </w:rPr>
        <w:t xml:space="preserve">общей площадью не менее 20 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  <w:vertAlign w:val="superscript"/>
        </w:rPr>
        <w:t>2</w:t>
      </w:r>
      <w:r>
        <w:rPr>
          <w:rFonts w:ascii="Times New Roman" w:hAnsi="Times New Roman"/>
          <w:b w:val="0"/>
          <w:sz w:val="28"/>
        </w:rPr>
        <w:t>, но с</w:t>
      </w:r>
      <w:r>
        <w:rPr>
          <w:rFonts w:ascii="Times New Roman" w:hAnsi="Times New Roman"/>
          <w:b w:val="1"/>
          <w:sz w:val="28"/>
        </w:rPr>
        <w:t>убъекты РФ вправе увеличить указанный размер площади</w:t>
      </w:r>
      <w:r>
        <w:rPr>
          <w:rFonts w:ascii="Times New Roman" w:hAnsi="Times New Roman"/>
          <w:b w:val="0"/>
          <w:sz w:val="28"/>
        </w:rPr>
        <w:t xml:space="preserve"> либо </w:t>
      </w:r>
      <w:r>
        <w:rPr>
          <w:rFonts w:ascii="Times New Roman" w:hAnsi="Times New Roman"/>
          <w:b w:val="1"/>
          <w:sz w:val="28"/>
        </w:rPr>
        <w:t>установить полный запрет</w:t>
      </w:r>
      <w:r>
        <w:rPr>
          <w:rFonts w:ascii="Times New Roman" w:hAnsi="Times New Roman"/>
          <w:b w:val="0"/>
          <w:sz w:val="28"/>
        </w:rPr>
        <w:t xml:space="preserve"> на продажу алкоголя в объектах общественного питания расположенных в многоквартирных домах и (или) на прилегающих к ним территориях.</w:t>
      </w:r>
    </w:p>
    <w:p w14:paraId="4A000000">
      <w:pPr>
        <w:numPr>
          <w:numId w:val="2"/>
        </w:numPr>
        <w:spacing w:after="120" w:before="120"/>
        <w:ind w:firstLine="0" w:left="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Не допускается продажа алкогольной продукции с 23:00 до 08:00, за исключе</w:t>
      </w:r>
      <w:r>
        <w:rPr>
          <w:rFonts w:ascii="Times New Roman" w:hAnsi="Times New Roman"/>
          <w:b w:val="1"/>
          <w:color w:val="000000"/>
          <w:sz w:val="28"/>
        </w:rPr>
        <w:t>нием объектов общественного питания</w:t>
      </w:r>
      <w:r>
        <w:rPr>
          <w:rFonts w:ascii="Times New Roman" w:hAnsi="Times New Roman"/>
          <w:b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color w:val="000000"/>
          <w:sz w:val="28"/>
        </w:rPr>
        <w:t>с</w:t>
      </w:r>
      <w:r>
        <w:rPr>
          <w:rFonts w:ascii="Times New Roman" w:hAnsi="Times New Roman"/>
          <w:b w:val="1"/>
          <w:color w:val="000000"/>
          <w:sz w:val="28"/>
        </w:rPr>
        <w:t xml:space="preserve">убъекты РФ вправе </w:t>
      </w:r>
      <w:r>
        <w:rPr>
          <w:rFonts w:ascii="Times New Roman" w:hAnsi="Times New Roman"/>
          <w:b w:val="0"/>
          <w:color w:val="000000"/>
          <w:sz w:val="28"/>
        </w:rPr>
        <w:t xml:space="preserve">устанавливать </w:t>
      </w:r>
      <w:r>
        <w:rPr>
          <w:rFonts w:ascii="Times New Roman" w:hAnsi="Times New Roman"/>
          <w:b w:val="1"/>
          <w:color w:val="000000"/>
          <w:sz w:val="28"/>
        </w:rPr>
        <w:t xml:space="preserve">дополнительные </w:t>
      </w:r>
      <w:r>
        <w:rPr>
          <w:rFonts w:ascii="Times New Roman" w:hAnsi="Times New Roman"/>
          <w:b w:val="1"/>
          <w:strike w:val="0"/>
          <w:color w:val="000000"/>
          <w:sz w:val="28"/>
        </w:rPr>
        <w:t>ограничения</w:t>
      </w:r>
      <w:r>
        <w:rPr>
          <w:rFonts w:ascii="Times New Roman" w:hAnsi="Times New Roman"/>
          <w:b w:val="0"/>
          <w:color w:val="000000"/>
          <w:sz w:val="28"/>
        </w:rPr>
        <w:t xml:space="preserve"> времени, условий и мест розничной продажи алкоголя </w:t>
      </w:r>
      <w:r>
        <w:rPr>
          <w:rFonts w:ascii="Times New Roman" w:hAnsi="Times New Roman"/>
          <w:b w:val="0"/>
          <w:sz w:val="28"/>
        </w:rPr>
        <w:t xml:space="preserve">вплоть до </w:t>
      </w:r>
      <w:r>
        <w:rPr>
          <w:rFonts w:ascii="Times New Roman" w:hAnsi="Times New Roman"/>
          <w:b w:val="0"/>
          <w:color w:val="000000"/>
          <w:sz w:val="28"/>
        </w:rPr>
        <w:t>полного запрета его продажи)</w:t>
      </w:r>
    </w:p>
    <w:p w14:paraId="4B000000">
      <w:pPr>
        <w:numPr>
          <w:numId w:val="2"/>
        </w:numPr>
        <w:spacing w:after="0" w:line="240" w:lineRule="auto"/>
        <w:ind w:hanging="11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Не допускается одновременная </w:t>
      </w:r>
      <w:r>
        <w:rPr>
          <w:rFonts w:ascii="Times New Roman" w:hAnsi="Times New Roman"/>
          <w:sz w:val="28"/>
        </w:rPr>
        <w:t>розничная продажа алкогольной продукции и розничная продажа алкогольной продукции при оказании услуг общественного питания по одному месту осуществления лицензируемой деятельности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4C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sz w:val="32"/>
        </w:rPr>
        <w:t>Дополнительные ограничения продажи алкогольной продукции на территории Камчатского края</w:t>
      </w:r>
    </w:p>
    <w:p w14:paraId="4D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Камчатском крае установлены дополнительные ограничения к розничной продаже алкогольной продукции.</w:t>
      </w:r>
    </w:p>
    <w:p w14:paraId="4F000000">
      <w:pPr>
        <w:numPr>
          <w:numId w:val="4"/>
        </w:numPr>
        <w:spacing w:after="0" w:line="240" w:lineRule="auto"/>
        <w:ind w:hanging="11" w:lef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sz w:val="28"/>
        </w:rPr>
        <w:t xml:space="preserve">Законом Камчатского края от 04.05.2011 № 598 </w:t>
      </w:r>
      <w:r>
        <w:rPr>
          <w:rFonts w:ascii="Times New Roman" w:hAnsi="Times New Roman"/>
          <w:b w:val="1"/>
          <w:sz w:val="28"/>
        </w:rPr>
        <w:t>увеличен размер</w:t>
      </w:r>
      <w:r>
        <w:rPr>
          <w:rFonts w:ascii="Times New Roman" w:hAnsi="Times New Roman"/>
          <w:sz w:val="28"/>
        </w:rPr>
        <w:t xml:space="preserve"> общей площади </w:t>
      </w:r>
      <w:r>
        <w:rPr>
          <w:rFonts w:ascii="Times New Roman" w:hAnsi="Times New Roman"/>
          <w:b w:val="1"/>
          <w:sz w:val="28"/>
        </w:rPr>
        <w:t>зала обслуживания</w:t>
      </w:r>
      <w:r>
        <w:rPr>
          <w:rFonts w:ascii="Times New Roman" w:hAnsi="Times New Roman"/>
          <w:sz w:val="28"/>
        </w:rPr>
        <w:t xml:space="preserve"> посетителей в объектах общественного питания, </w:t>
      </w:r>
      <w:r>
        <w:rPr>
          <w:rFonts w:ascii="Times New Roman" w:hAnsi="Times New Roman"/>
          <w:b w:val="0"/>
          <w:sz w:val="28"/>
        </w:rPr>
        <w:t>расположенных</w:t>
      </w:r>
      <w:r>
        <w:rPr>
          <w:rFonts w:ascii="Times New Roman" w:hAnsi="Times New Roman"/>
          <w:b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sz w:val="28"/>
          <w:u w:val="none"/>
        </w:rPr>
        <w:t>в многоквартирных домах и (или) на прилегающих к ним территориях</w:t>
      </w:r>
      <w:r>
        <w:rPr>
          <w:rFonts w:ascii="Times New Roman" w:hAnsi="Times New Roman"/>
          <w:b w:val="0"/>
          <w:sz w:val="28"/>
          <w:u w:val="none"/>
        </w:rPr>
        <w:t>,</w:t>
      </w:r>
      <w:r>
        <w:rPr>
          <w:rFonts w:ascii="Times New Roman" w:hAnsi="Times New Roman"/>
          <w:b w:val="0"/>
          <w:sz w:val="28"/>
          <w:u w:val="none"/>
        </w:rPr>
        <w:t xml:space="preserve"> с 20 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  <w:vertAlign w:val="superscript"/>
        </w:rPr>
        <w:t>2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single"/>
        </w:rPr>
        <w:t xml:space="preserve">до 50 </w:t>
      </w:r>
      <w:r>
        <w:rPr>
          <w:rFonts w:ascii="Times New Roman" w:hAnsi="Times New Roman"/>
          <w:b w:val="0"/>
          <w:sz w:val="28"/>
          <w:u w:val="single"/>
        </w:rPr>
        <w:t>м</w:t>
      </w:r>
      <w:r>
        <w:rPr>
          <w:rFonts w:ascii="Times New Roman" w:hAnsi="Times New Roman"/>
          <w:b w:val="0"/>
          <w:sz w:val="28"/>
          <w:u w:val="single"/>
          <w:vertAlign w:val="superscript"/>
        </w:rPr>
        <w:t>2</w:t>
      </w:r>
      <w:r>
        <w:rPr>
          <w:rFonts w:ascii="Times New Roman" w:hAnsi="Times New Roman"/>
          <w:b w:val="0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в городских населенных пунктах, 25 </w:t>
      </w:r>
      <w:r>
        <w:rPr>
          <w:rFonts w:ascii="Times New Roman" w:hAnsi="Times New Roman"/>
          <w:b w:val="0"/>
          <w:sz w:val="28"/>
          <w:u w:val="single"/>
        </w:rPr>
        <w:t>м</w:t>
      </w:r>
      <w:r>
        <w:rPr>
          <w:rFonts w:ascii="Times New Roman" w:hAnsi="Times New Roman"/>
          <w:b w:val="0"/>
          <w:sz w:val="28"/>
          <w:u w:val="single"/>
          <w:vertAlign w:val="superscript"/>
        </w:rPr>
        <w:t>2</w:t>
      </w:r>
      <w:r>
        <w:rPr>
          <w:rFonts w:ascii="Times New Roman" w:hAnsi="Times New Roman"/>
          <w:sz w:val="28"/>
          <w:u w:val="single"/>
        </w:rPr>
        <w:t xml:space="preserve"> в сельских населенных пунктах</w:t>
      </w:r>
      <w:r>
        <w:rPr>
          <w:rFonts w:ascii="Times New Roman" w:hAnsi="Times New Roman"/>
          <w:sz w:val="28"/>
        </w:rPr>
        <w:t>.</w:t>
      </w:r>
    </w:p>
    <w:p w14:paraId="50000000">
      <w:pPr>
        <w:numPr>
          <w:numId w:val="4"/>
        </w:numPr>
        <w:spacing w:after="0" w:line="240" w:lineRule="auto"/>
        <w:ind w:hanging="11" w:lef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Постановлением правительства Камчатского края от 28.03.2012 № 167-П </w:t>
      </w:r>
      <w:r>
        <w:rPr>
          <w:rFonts w:ascii="Times New Roman" w:hAnsi="Times New Roman"/>
          <w:sz w:val="28"/>
        </w:rPr>
        <w:t>розничная продажа алкогольной продукции (</w:t>
      </w:r>
      <w:r>
        <w:rPr>
          <w:rFonts w:ascii="Times New Roman" w:hAnsi="Times New Roman"/>
          <w:sz w:val="28"/>
          <w:u w:val="single"/>
        </w:rPr>
        <w:t>за исключением объектов общественно</w:t>
      </w:r>
      <w:r>
        <w:rPr>
          <w:rFonts w:ascii="Times New Roman" w:hAnsi="Times New Roman"/>
          <w:b w:val="0"/>
          <w:sz w:val="28"/>
          <w:u w:val="single"/>
        </w:rPr>
        <w:t>го питания</w:t>
      </w:r>
      <w:r>
        <w:rPr>
          <w:rFonts w:ascii="Times New Roman" w:hAnsi="Times New Roman"/>
          <w:b w:val="0"/>
          <w:sz w:val="28"/>
          <w:u w:val="none"/>
        </w:rPr>
        <w:t>)</w:t>
      </w:r>
      <w:r>
        <w:rPr>
          <w:rFonts w:ascii="Times New Roman" w:hAnsi="Times New Roman"/>
          <w:sz w:val="28"/>
        </w:rPr>
        <w:t xml:space="preserve"> не допускается: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b w:val="1"/>
          <w:sz w:val="28"/>
        </w:rPr>
        <w:t xml:space="preserve">с 22:00 до </w:t>
      </w:r>
      <w:r>
        <w:rPr>
          <w:rFonts w:ascii="Times New Roman" w:hAnsi="Times New Roman"/>
          <w:b w:val="1"/>
          <w:sz w:val="28"/>
        </w:rPr>
        <w:t>10:00</w:t>
      </w:r>
      <w:r>
        <w:rPr>
          <w:rFonts w:ascii="Times New Roman" w:hAnsi="Times New Roman"/>
          <w:sz w:val="28"/>
        </w:rPr>
        <w:t xml:space="preserve"> по местному времени;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зданиях, строениях, сооружениях, в которых осуществляют деятельность</w:t>
      </w:r>
      <w:r>
        <w:rPr>
          <w:rFonts w:ascii="Times New Roman" w:hAnsi="Times New Roman"/>
          <w:sz w:val="28"/>
        </w:rPr>
        <w:t xml:space="preserve"> образовательные и медицинские организации, а также </w:t>
      </w:r>
      <w:r>
        <w:rPr>
          <w:rFonts w:ascii="Times New Roman" w:hAnsi="Times New Roman"/>
          <w:sz w:val="28"/>
        </w:rPr>
        <w:t>организации, осуществляющие обучение несовершеннолетних;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зданиях, строениях, сооружениях, в которых размещены объекты спорта;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следующие праздничные дни:</w:t>
      </w:r>
    </w:p>
    <w:p w14:paraId="5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День студентов – 25 января; </w:t>
      </w:r>
    </w:p>
    <w:p w14:paraId="5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Международный день защиты детей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 июня;</w:t>
      </w:r>
    </w:p>
    <w:p w14:paraId="5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последняя суббота июня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 День молодежи России</w:t>
      </w:r>
      <w:r>
        <w:rPr>
          <w:rFonts w:ascii="Times New Roman" w:hAnsi="Times New Roman"/>
          <w:sz w:val="28"/>
        </w:rPr>
        <w:t xml:space="preserve">; </w:t>
      </w:r>
    </w:p>
    <w:p w14:paraId="5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День знаний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 сентября либо иной день, в который проводятся торжественные линейки в общеобразовательных организациях, посвященные началу учебного года;</w:t>
      </w:r>
    </w:p>
    <w:p w14:paraId="5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Всероссийский день трезвости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11 сентября;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торговых объектах, находящихся: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нежилых п</w:t>
      </w:r>
      <w:r>
        <w:rPr>
          <w:rFonts w:ascii="Times New Roman" w:hAnsi="Times New Roman"/>
          <w:sz w:val="28"/>
        </w:rPr>
        <w:t>омещениях, имеющих вход и (или) выход для посетителей со стороны коридоров, лестничных площадок многоквартирных домов;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организован со стороны подъездов многоквартирных домов;</w:t>
      </w:r>
    </w:p>
    <w:p w14:paraId="5E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sz w:val="28"/>
        </w:rPr>
        <w:t>в) в зданиях, в которых расположены студенческие общежития.</w:t>
      </w:r>
    </w:p>
    <w:p w14:paraId="5F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60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61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10" w:type="paragraph">
    <w:name w:val="No Spacing"/>
    <w:link w:val="Style_10_ch"/>
    <w:pPr>
      <w:spacing w:after="0" w:line="240" w:lineRule="auto"/>
      <w:ind/>
    </w:pPr>
  </w:style>
  <w:style w:styleId="Style_10_ch" w:type="character">
    <w:name w:val="No Spacing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pt-a0"/>
    <w:basedOn w:val="Style_13"/>
    <w:link w:val="Style_12_ch"/>
  </w:style>
  <w:style w:styleId="Style_12_ch" w:type="character">
    <w:name w:val="pt-a0"/>
    <w:basedOn w:val="Style_13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3"/>
    <w:link w:val="Style_16_ch"/>
    <w:rPr>
      <w:color w:themeColor="hyperlink" w:val="0563C1"/>
      <w:u w:val="single"/>
    </w:rPr>
  </w:style>
  <w:style w:styleId="Style_16_ch" w:type="character">
    <w:name w:val="Hyperlink"/>
    <w:basedOn w:val="Style_13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pt-consplusnormal-000030"/>
    <w:basedOn w:val="Style_3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pt-consplusnormal-000030"/>
    <w:basedOn w:val="Style_3_ch"/>
    <w:link w:val="Style_23"/>
    <w:rPr>
      <w:rFonts w:ascii="Times New Roman" w:hAnsi="Times New Roman"/>
      <w:sz w:val="24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pt-consplusnormal-000020"/>
    <w:basedOn w:val="Style_3"/>
    <w:link w:val="Style_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_ch" w:type="character">
    <w:name w:val="pt-consplusnormal-000020"/>
    <w:basedOn w:val="Style_3_ch"/>
    <w:link w:val="Style_28"/>
    <w:rPr>
      <w:rFonts w:ascii="Times New Roman" w:hAnsi="Times New Roman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2024-02-21T02:39:06Z</dcterms:modified>
</cp:coreProperties>
</file>