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media/image20.jpeg" ContentType="image/jpeg"/>
  <Override PartName="/word/media/image6.png" ContentType="image/png"/>
  <Override PartName="/word/media/image3.jpeg" ContentType="image/jpeg"/>
  <Override PartName="/word/media/image5.jpeg" ContentType="image/jpeg"/>
  <Override PartName="/word/media/image4.jpeg" ContentType="image/jpeg"/>
  <Override PartName="/word/media/image9.jpeg" ContentType="image/jpeg"/>
  <Override PartName="/word/media/image1.jpeg" ContentType="image/jpeg"/>
  <Override PartName="/word/media/image2.jpeg" ContentType="image/jpeg"/>
  <Override PartName="/word/media/image7.jpeg" ContentType="image/jpeg"/>
  <Override PartName="/word/media/image8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7.jpeg" ContentType="image/jpeg"/>
  <Override PartName="/word/media/image19.jpeg" ContentType="image/jpeg"/>
  <Override PartName="/word/media/image18.jpeg" ContentType="image/jpeg"/>
  <Override PartName="/word/media/image15.jpeg" ContentType="image/jpeg"/>
  <Override PartName="/word/media/image16.jpeg" ContentType="image/jpeg"/>
  <Override PartName="/word/media/image10.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/>
        <w:drawing>
          <wp:inline distT="0" distB="0" distL="0" distR="0">
            <wp:extent cx="648970" cy="810895"/>
            <wp:effectExtent l="0" t="0" r="0" b="0"/>
            <wp:docPr id="1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360"/>
        <w:jc w:val="center"/>
        <w:rPr>
          <w:sz w:val="28"/>
        </w:rPr>
      </w:pPr>
      <w:r>
        <w:rPr>
          <w:sz w:val="28"/>
        </w:rPr>
        <w:t xml:space="preserve">МИНИСТЕРСТВО ПРИРОДНЫХ РЕСУРСОВ И ЭКОЛОГИИ </w:t>
      </w:r>
    </w:p>
    <w:p>
      <w:pPr>
        <w:pStyle w:val="Normal"/>
        <w:spacing w:lineRule="auto" w:line="360"/>
        <w:jc w:val="center"/>
        <w:rPr>
          <w:sz w:val="28"/>
        </w:rPr>
      </w:pPr>
      <w:r>
        <w:rPr>
          <w:sz w:val="28"/>
        </w:rPr>
        <w:t>КАМЧАТСКОГО КРАЯ</w:t>
      </w:r>
    </w:p>
    <w:p>
      <w:pPr>
        <w:pStyle w:val="Normal"/>
        <w:spacing w:lineRule="auto" w:line="36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32"/>
        </w:rPr>
      </w:pPr>
      <w:r>
        <w:rPr>
          <w:b/>
          <w:sz w:val="32"/>
        </w:rPr>
        <w:t xml:space="preserve">ОТЧЕТ </w:t>
      </w:r>
    </w:p>
    <w:p>
      <w:pPr>
        <w:pStyle w:val="Normal"/>
        <w:spacing w:lineRule="auto" w:line="360"/>
        <w:jc w:val="center"/>
        <w:rPr>
          <w:b/>
          <w:b/>
          <w:sz w:val="32"/>
        </w:rPr>
      </w:pPr>
      <w:r>
        <w:rPr>
          <w:b/>
          <w:sz w:val="32"/>
        </w:rPr>
        <w:t>О ПРОВЕДЕНИИ В 2023 ГОДУ</w:t>
      </w:r>
    </w:p>
    <w:p>
      <w:pPr>
        <w:pStyle w:val="Normal"/>
        <w:spacing w:lineRule="auto" w:line="360"/>
        <w:jc w:val="center"/>
        <w:rPr>
          <w:b/>
          <w:b/>
          <w:sz w:val="32"/>
        </w:rPr>
      </w:pPr>
      <w:r>
        <w:rPr>
          <w:b/>
          <w:sz w:val="32"/>
        </w:rPr>
        <w:t>В КАМЧАТСКОМ КРАЕ</w:t>
      </w:r>
    </w:p>
    <w:p>
      <w:pPr>
        <w:pStyle w:val="1"/>
        <w:spacing w:before="0" w:after="0"/>
        <w:jc w:val="center"/>
        <w:rPr>
          <w:rFonts w:ascii="Times New Roman" w:hAnsi="Times New Roman"/>
          <w:color w:val="00B050"/>
          <w:sz w:val="36"/>
        </w:rPr>
      </w:pPr>
      <w:r>
        <w:rPr>
          <w:rFonts w:ascii="Times New Roman" w:hAnsi="Times New Roman"/>
          <w:color w:val="00B050"/>
          <w:sz w:val="36"/>
        </w:rPr>
        <w:t>ДНЕЙ ЗАЩИТЫ ОТ</w:t>
      </w:r>
    </w:p>
    <w:p>
      <w:pPr>
        <w:pStyle w:val="1"/>
        <w:spacing w:before="0" w:after="0"/>
        <w:jc w:val="center"/>
        <w:rPr>
          <w:rFonts w:ascii="Times New Roman" w:hAnsi="Times New Roman"/>
          <w:color w:val="00B050"/>
          <w:sz w:val="36"/>
        </w:rPr>
      </w:pPr>
      <w:r>
        <w:rPr>
          <w:rFonts w:ascii="Times New Roman" w:hAnsi="Times New Roman"/>
          <w:color w:val="00B050"/>
          <w:sz w:val="36"/>
        </w:rPr>
        <w:t>ЭКОЛОГИЧЕСКОЙ ОПАСНОСТИ</w:t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jc w:val="center"/>
        <w:rPr>
          <w:b/>
          <w:b/>
          <w:sz w:val="16"/>
        </w:rPr>
      </w:pPr>
      <w:r>
        <w:rPr>
          <w:b/>
          <w:sz w:val="16"/>
        </w:rPr>
        <w:drawing>
          <wp:anchor behindDoc="0" distT="0" distB="0" distL="0" distR="0" simplePos="0" locked="0" layoutInCell="0" allowOverlap="1" relativeHeight="74">
            <wp:simplePos x="0" y="0"/>
            <wp:positionH relativeFrom="column">
              <wp:posOffset>403225</wp:posOffset>
            </wp:positionH>
            <wp:positionV relativeFrom="paragraph">
              <wp:posOffset>148590</wp:posOffset>
            </wp:positionV>
            <wp:extent cx="5096510" cy="4081780"/>
            <wp:effectExtent l="0" t="0" r="0" b="0"/>
            <wp:wrapSquare wrapText="largest"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</w:rPr>
      </w:pPr>
      <w:r>
        <w:rPr>
          <w:b/>
          <w:sz w:val="28"/>
        </w:rPr>
      </w:r>
    </w:p>
    <w:tbl>
      <w:tblPr>
        <w:tblW w:w="10608" w:type="dxa"/>
        <w:jc w:val="left"/>
        <w:tblInd w:w="-102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1"/>
        <w:gridCol w:w="5166"/>
      </w:tblGrid>
      <w:tr>
        <w:trPr/>
        <w:tc>
          <w:tcPr>
            <w:tcW w:w="5441" w:type="dxa"/>
            <w:tcBorders/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</w:tc>
        <w:tc>
          <w:tcPr>
            <w:tcW w:w="5166" w:type="dxa"/>
            <w:tcBorders/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</w:tc>
      </w:tr>
    </w:tbl>
    <w:p>
      <w:pPr>
        <w:pStyle w:val="Normal"/>
        <w:spacing w:lineRule="auto" w:line="360"/>
        <w:jc w:val="center"/>
        <w:rPr>
          <w:sz w:val="28"/>
        </w:rPr>
      </w:pPr>
      <w:r>
        <w:rPr>
          <w:sz w:val="28"/>
        </w:rPr>
        <w:t>г. Петропавловск – Камчатский, 2023</w:t>
      </w:r>
    </w:p>
    <w:p>
      <w:pPr>
        <w:pStyle w:val="Normal"/>
        <w:spacing w:lineRule="auto" w:line="276"/>
        <w:ind w:left="0" w:right="0" w:firstLine="567"/>
        <w:jc w:val="both"/>
        <w:rPr/>
      </w:pPr>
      <w:r>
        <w:rPr>
          <w:sz w:val="28"/>
        </w:rPr>
        <w:t>ВВЕДЕНИЕ</w:t>
      </w:r>
      <w:r>
        <w:rPr>
          <w:b/>
          <w:sz w:val="28"/>
        </w:rPr>
        <w:t xml:space="preserve"> </w:t>
      </w:r>
    </w:p>
    <w:p>
      <w:pPr>
        <w:pStyle w:val="Normal"/>
        <w:spacing w:lineRule="auto" w:line="276"/>
        <w:ind w:left="0" w:right="0" w:firstLine="567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рамках Общероссийских Дней защиты от экологической опасности на полуострове проводится большое количество мероприятий, направленных на повышение уровня экологической культуры населения. В акциях и мероприятиях принимают участие государственные структуры, дошкольные учреждения, школы, высшие учебные заведения, общественные организации, средства массовой информации и жители края.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В рамках мероприятий проводятся экологические лекции, семинары и экскурсии в природные заповедники и объекты.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О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рганизуются акции по сбору мусора и уборке территорий,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 xml:space="preserve"> а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 xml:space="preserve"> также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 xml:space="preserve"> к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онкурсы и выставки на тему экологии и охраны природы.</w:t>
      </w:r>
    </w:p>
    <w:p>
      <w:pPr>
        <w:pStyle w:val="Normal"/>
        <w:spacing w:lineRule="auto" w:line="276"/>
        <w:ind w:left="0" w:right="0" w:firstLine="567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Государственные структуры активно работают над контролем соблюдения экологических норм и требований, а также разработкой и внедрением экологических программ и проектов.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</w:p>
    <w:p>
      <w:pPr>
        <w:pStyle w:val="Normal"/>
        <w:spacing w:lineRule="auto" w:line="276"/>
        <w:ind w:left="0" w:right="0" w:firstLine="567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дошкольных учреждениях и школах проводятся экологические занятия, уроки и кружки, где дети учатся бережно относиться к природе и окружающей среде.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Высшие учебные заведения занимаются научными исследованиями в области экологии, разработкой новых технологий и методов охраны окружающей среды, а также обучением студентов экологическим наукам.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Общественные организации активно участвуют в организации и проведении экологических акций и мероприятий, а также проводят информационную и просветительскую работу по вопросам экологии.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</w:p>
    <w:p>
      <w:pPr>
        <w:pStyle w:val="Normal"/>
        <w:spacing w:lineRule="auto" w:line="276"/>
        <w:ind w:left="0" w:right="0" w:firstLine="567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Средства массовой информации играют важную роль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 xml:space="preserve">в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информировании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населения о проблемах окружающей среды и способах их решения, а также в популяризации экологической культуры.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</w:p>
    <w:p>
      <w:pPr>
        <w:pStyle w:val="Normal"/>
        <w:spacing w:lineRule="auto" w:line="276"/>
        <w:ind w:left="0" w:right="0" w:firstLine="567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Большая часть жителей края принимают активное участие в проводимых акциях и мероприятиях, осознавая свою ответственность за сохранение окружающей среды и природных ресурсов. Они собирают мусор, экономят энергию и воду, отказываются от использования одноразовых пластиковых изделий и принимают другие меры по снижению своего негативного воздействия на окружающую среду.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Таким образом, проведение различных мероприятий и акций в рамках Общероссийских Дней защиты от экологической опасности в крае способствует повышению уровня экологической культуры населения и формированию ответственного отношения к окружающей среде.</w:t>
      </w:r>
    </w:p>
    <w:p>
      <w:pPr>
        <w:pStyle w:val="Normal"/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В соответствии с постановлением Правительства Российской Федерации от 11.06.1996 № 686 «О проведении Дней защиты от экологической опасности» и в целях проведения эффективной политики по улучшению состояния окружающей среды в Камчатском крае, в весенний период на территории Камчатского края были организованы и проведены Дни защиты от экологической опасности в Камчатском крае в 2023 году (далее – Дни защиты).</w:t>
      </w:r>
    </w:p>
    <w:p>
      <w:pPr>
        <w:pStyle w:val="Normal"/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В целях координации деятельности по организации и проведению мероприятий, направленных на оздоровление окружающей среды в Камчатском крае был сформирован и утвержден план мероприятий по проведению Дней защиты от экологической опасности в Камчатском крае на 2023 год (далее – План), охватывающий наиболее актуальные направления деятельности учреждений, организаций, предприятий и жителей региона. Настоящий План утвержден распоряжением Правительства Камчатского края от 24.04.2023 № 174-РП.</w:t>
      </w:r>
    </w:p>
    <w:p>
      <w:pPr>
        <w:pStyle w:val="Normal"/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Ежегодные Дни защиты являются отличным примером совместной работы между министерствами, ведомствами, бюджетными учреждениями, органами местного самоуправления муниципальных образований, учебными заведениями и общественными экологическими организациями. В ходе проведения запланированных мероприятий становится ясным, каким образом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FFD821" w:val="clear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происходит сотрудничество и взаимодействие организаций в целях защиты окружающей среды и природных ресурсов.</w:t>
      </w:r>
    </w:p>
    <w:p>
      <w:pPr>
        <w:pStyle w:val="Normal"/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hd w:fill="92FF99" w:val="clear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Министерство природных ресурсов и экологии Камчатского края (далее - Министерство) осуществляет организационное руководство и координацию проведения Дней защиты, играет ключевую роль в планировании и организации мероприятий, а также обеспечивает сотрудничество и взаимодействие между различными участниками, такими как органы местного самоуправления, учебные заведения, общественные экологические организации и другие учреждения.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rPr>
          <w:sz w:val="28"/>
        </w:rPr>
      </w:pPr>
      <w:r>
        <w:rPr>
          <w:sz w:val="28"/>
        </w:rPr>
        <w:t>1. ОРГАНИЗАЦИОННЫЕ МЕРОПРИЯТИЯ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Участие в исполнении мероприятий Плана, традиционно, принимали исполнительные органы Камчатского края, органы</w:t>
      </w:r>
      <w:r>
        <w:rPr>
          <w:sz w:val="28"/>
          <w:shd w:fill="auto" w:val="clear"/>
        </w:rPr>
        <w:t xml:space="preserve"> </w:t>
      </w:r>
      <w:r>
        <w:rPr>
          <w:sz w:val="28"/>
          <w:shd w:fill="auto" w:val="clear"/>
        </w:rPr>
        <w:t>местного самоуправления</w:t>
      </w:r>
      <w:r>
        <w:rPr>
          <w:sz w:val="28"/>
        </w:rPr>
        <w:t xml:space="preserve">, а также краевые государственные бюджетные учреждения и общественные организации.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Участие в исполнении мероприятий Плана позволяет эффективно координировать усилия различных органов власти и общественных организаций для достижения общих целей в области экологии и устойчивого развития. Участники мероприятий вносят свой вклад в разработку и реализацию конкретных проектов,  предлагают новые идеи и решения, а также обеспечивают информационную поддержку проводимых мероприятий.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Активное участие исполнительных органов власти Камчатского края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92FF99" w:val="clear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позволяет обеспечить необходимую правовую и организационную базу для реализации мероприятий Плана, а также участие территориальных управлений федеральных органов исполнительной власти способствует координации деятельности на различных уровнях управления. Участие органов местного самоуправления муниципальных образований в Камчатском крае позволяет учесть местные особенности и потребности при разработке и реализации мероприятий.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Краевые и муниципальны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е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учреждения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 xml:space="preserve"> та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кже играют важную роль в реализации Плана, осуществляя контроль и мониторинг выполнения мероприятий, предоставляя необходимые ресурсы и экспертизу.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Участие общественных организаций, в свою очередь, обеспечивает широкое вовлечение жителей Камчатского края в процесс принятия решений и реализации мероприятий, а также активное информационное сопровождение проектов.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В рамках реализации мероприятий по указанному разделу Плана в период апрель-июнь 2023 года была проделана, в том числе, следующая работа: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highlight w:val="none"/>
          <w:shd w:fill="auto" w:val="clear"/>
        </w:rPr>
      </w:pPr>
      <w:r>
        <w:rPr>
          <w:sz w:val="28"/>
          <w:shd w:fill="auto" w:val="clear"/>
        </w:rPr>
        <w:t xml:space="preserve">- </w:t>
      </w:r>
      <w:r>
        <w:rPr>
          <w:sz w:val="28"/>
          <w:shd w:fill="auto" w:val="clear"/>
        </w:rPr>
        <w:t>краевой конкурс «Эколог года» среди сотрудников предприятий – природопользователей;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  <w:shd w:fill="auto" w:val="clear"/>
        </w:rPr>
        <w:t>- ме</w:t>
      </w:r>
      <w:r>
        <w:rPr>
          <w:sz w:val="28"/>
        </w:rPr>
        <w:t>роприятия, посвященные Дню Земли, Дню птиц, Дню воды, Дню охраны окружающей среды, Дню эколога;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тематические мероприятия (познавательные викторины, экологические конкурсы, акции, практические занятия, флэш-мобы, квест-игры, беседы, презентации, викторины, выставки, занятия) по тематике Дней защиты;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региональные мероприятия общероссийских экологических движений: «Зеленая планета 2023»; «Региональное мероприятие Всероссийского экологического детского Фестиваля – Праздника Эколят – Молодых защитников природы 2023 года»;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highlight w:val="none"/>
          <w:shd w:fill="auto" w:val="clear"/>
        </w:rPr>
      </w:pPr>
      <w:r>
        <w:rPr>
          <w:sz w:val="28"/>
          <w:shd w:fill="auto" w:val="clear"/>
        </w:rPr>
        <w:t xml:space="preserve">- </w:t>
      </w:r>
      <w:r>
        <w:rPr>
          <w:sz w:val="28"/>
          <w:shd w:fill="auto" w:val="clear"/>
        </w:rPr>
        <w:t>подготовлен Доклад о состоянии окружающей среды в Камчатском крае в 2022 году;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  <w:shd w:fill="auto" w:val="clear"/>
        </w:rPr>
        <w:t>-</w:t>
      </w:r>
      <w:r>
        <w:rPr>
          <w:sz w:val="28"/>
          <w:shd w:fill="auto" w:val="clear"/>
        </w:rPr>
        <w:t xml:space="preserve"> п</w:t>
      </w:r>
      <w:r>
        <w:rPr>
          <w:sz w:val="28"/>
        </w:rPr>
        <w:t xml:space="preserve">ринято участие в национальном празднике коренных малочисленных народов Севера, Сибири и Дальнего Востока Российской Федерации «День первой рыбы».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>Проведение краевого конкурса «Эколог года»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30.06.2023 Министерство подвело итоги ежегодного краевого конкурса профессионального мастерства «Эколог года».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Работы участников конкурса оценивались по таким критериям как: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обоснование выбора темы;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значимость (практичность) поставленной цели;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значимость результата работы для функционирования экосистемы;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логика представления материала;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соответствие применяемых методов поставленным целям и задачам;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убедительность выводов.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По итогам конкурса:</w:t>
      </w:r>
    </w:p>
    <w:p>
      <w:pPr>
        <w:pStyle w:val="Normal"/>
        <w:tabs>
          <w:tab w:val="clear" w:pos="708"/>
          <w:tab w:val="left" w:pos="1134" w:leader="none"/>
        </w:tabs>
        <w:spacing w:lineRule="auto" w:line="276" w:before="0" w:after="0"/>
        <w:ind w:left="0" w:right="0" w:firstLine="709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FBFBFB" w:val="clear"/>
        </w:rPr>
        <w:t>В номинации «развитие экологического воспитания, образования и обучения» победите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ли распределились следующим образом:</w:t>
      </w:r>
    </w:p>
    <w:p>
      <w:pPr>
        <w:pStyle w:val="Normal"/>
        <w:spacing w:lineRule="auto" w:line="276" w:before="0" w:after="0"/>
        <w:ind w:left="0" w:righ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 место – Скиданова Юлия Андреевна, МБОУ Николаевская СШ;</w:t>
      </w:r>
    </w:p>
    <w:p>
      <w:pPr>
        <w:pStyle w:val="Normal"/>
        <w:widowControl w:val="false"/>
        <w:spacing w:lineRule="auto" w:line="276" w:before="0" w:after="0"/>
        <w:ind w:left="0" w:right="0"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2 место – Гурьянова Марина Анатольевна, МБОУ Елизовская СШ № 8;</w:t>
      </w:r>
    </w:p>
    <w:p>
      <w:pPr>
        <w:pStyle w:val="Normal"/>
        <w:widowControl w:val="false"/>
        <w:spacing w:lineRule="auto" w:line="276" w:before="0" w:after="0"/>
        <w:ind w:left="0" w:right="0"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 место – Москаленко Олеся Сергеевна, КГПБУ «Камчатский педагогический колледж». </w:t>
      </w:r>
    </w:p>
    <w:p>
      <w:pPr>
        <w:pStyle w:val="Normal"/>
        <w:widowControl w:val="false"/>
        <w:spacing w:lineRule="auto" w:line="276" w:before="0" w:after="0"/>
        <w:ind w:left="0" w:right="0" w:firstLine="708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hd w:fill="FBFBFB" w:val="clear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FBFBFB" w:val="clear"/>
        </w:rPr>
        <w:t>В номинации «эколого-просветительская деятельность»:</w:t>
      </w:r>
    </w:p>
    <w:p>
      <w:pPr>
        <w:pStyle w:val="Normal"/>
        <w:spacing w:lineRule="auto" w:line="276" w:before="0" w:after="0"/>
        <w:ind w:left="0" w:right="0" w:firstLine="709"/>
        <w:jc w:val="both"/>
        <w:rPr/>
      </w:pPr>
      <w:r>
        <w:rPr>
          <w:color w:val="000000"/>
          <w:sz w:val="28"/>
        </w:rPr>
        <w:t>1 место – Димитриади Надежда Николаевна, Муниципальное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 xml:space="preserve"> бюджетное учреждение культуры «Дом Культуры»</w:t>
      </w:r>
      <w:r>
        <w:rPr>
          <w:color w:val="000000"/>
          <w:sz w:val="28"/>
        </w:rPr>
        <w:t>;</w:t>
      </w:r>
    </w:p>
    <w:p>
      <w:pPr>
        <w:pStyle w:val="Normal"/>
        <w:widowControl w:val="false"/>
        <w:spacing w:lineRule="auto" w:line="276" w:before="0" w:after="0"/>
        <w:ind w:left="0" w:right="0"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2 место – Радугина Ольга Владимировна, КГБУ ДО «Камчатский цент</w:t>
      </w:r>
      <w:r>
        <w:rPr>
          <w:color w:val="000000"/>
          <w:sz w:val="28"/>
          <w:shd w:fill="auto" w:val="clear"/>
        </w:rPr>
        <w:t>р</w:t>
      </w:r>
      <w:r>
        <w:rPr>
          <w:color w:val="000000"/>
          <w:sz w:val="28"/>
        </w:rPr>
        <w:t xml:space="preserve"> детского и юношеского технического творчества», структурное подразделение «Детский технопарк «Кванториум-Камчатка»;</w:t>
      </w:r>
    </w:p>
    <w:p>
      <w:pPr>
        <w:pStyle w:val="Normal"/>
        <w:widowControl w:val="false"/>
        <w:spacing w:lineRule="auto" w:line="276" w:before="0" w:after="0"/>
        <w:ind w:left="0" w:right="0"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3 место – Примак Татьяна Ивановна.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  <w:drawing>
          <wp:anchor behindDoc="0" distT="0" distB="0" distL="0" distR="0" simplePos="0" locked="0" layoutInCell="0" allowOverlap="1" relativeHeight="7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53685" cy="4978400"/>
            <wp:effectExtent l="0" t="0" r="0" b="0"/>
            <wp:wrapSquare wrapText="largest"/>
            <wp:docPr id="3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/>
      </w:pPr>
      <w:r>
        <w:rPr/>
        <w:t xml:space="preserve">Рис. 1. Подведение итогов второго этапа конкурса «Эколог года» и награждение </w:t>
      </w:r>
      <w:r>
        <w:rPr>
          <w:sz w:val="28"/>
        </w:rPr>
        <w:t xml:space="preserve"> </w:t>
      </w:r>
      <w:r>
        <w:rPr>
          <w:sz w:val="24"/>
        </w:rPr>
        <w:t>победителей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 xml:space="preserve">Участники ежегодного краевого конкурса профессионального мастерства «Эколог года» были награждены дипломами и памятными подарками от </w:t>
      </w:r>
      <w:r>
        <w:rPr>
          <w:sz w:val="28"/>
          <w:shd w:fill="92FF99" w:val="clear"/>
        </w:rPr>
        <w:t xml:space="preserve"> </w:t>
      </w:r>
      <w:r>
        <w:rPr>
          <w:sz w:val="28"/>
          <w:shd w:fill="auto" w:val="clear"/>
        </w:rPr>
        <w:t>Министерства</w:t>
      </w:r>
      <w:r>
        <w:rPr>
          <w:sz w:val="28"/>
          <w:shd w:fill="auto" w:val="clear"/>
        </w:rPr>
        <w:t>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>Проведение мероприятий, посвященных Дню Земли, Дню птиц, Дню воды, Дню охраны окружающей среды, Дню эколога.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 xml:space="preserve">В общеобразовательных учреждениях края были проведены такие мероприятия как: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 фотовыставка «Пусть не исчезнет в жизни красота» (природа Камчатки);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- 1- апреля - Международный день птиц, выставка поделок, рисунков, кормушек;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 акция «Покормите птиц!» (изготовление кормушек);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</w:t>
      </w:r>
      <w:r>
        <w:rPr>
          <w:color w:val="000000"/>
          <w:sz w:val="28"/>
          <w:shd w:fill="auto" w:val="clear"/>
        </w:rPr>
        <w:t xml:space="preserve"> </w:t>
      </w:r>
      <w:r>
        <w:rPr>
          <w:color w:val="000000"/>
          <w:sz w:val="28"/>
          <w:shd w:fill="auto" w:val="clear"/>
        </w:rPr>
        <w:t>акция</w:t>
      </w:r>
      <w:r>
        <w:rPr>
          <w:color w:val="000000"/>
          <w:sz w:val="28"/>
          <w:shd w:fill="auto" w:val="clear"/>
        </w:rPr>
        <w:t xml:space="preserve"> «</w:t>
      </w:r>
      <w:r>
        <w:rPr>
          <w:color w:val="000000"/>
          <w:sz w:val="28"/>
          <w:highlight w:val="white"/>
        </w:rPr>
        <w:t>Вторая жизнь вещам»;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 «Реки просят защиты» - конкурс, выставка плакатов; субботник «Экологический БУМ» (большая уборка мусора);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 акция «Сохраним птиц на Земле»; акция «Зеленая планета» - призыв жителей Мильковского района к высадке саженцев;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 конкурс рисунков на асфальте, посвященный всемирному Дню окружающей среды;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 экологический субботник «Зеленая Весна»;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 акции: «Сохраним лес от пожара», «Антипал»;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 акция по очистке от мусора берегов водных объектов «Берег добрых дел»; просмотр фильма «Сохрани воду чистой!»;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>- выпуск «Экологического календаря», распространение знаний о безопасном и бережном пользовании водными объектами, о значении воды для всех форм жизни в виде листовок; общероссийские экоуроки на платформе: https://экокласс.рф;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 w:val="false"/>
          <w:i w:val="false"/>
          <w:shd w:fill="92FF99" w:val="clear"/>
        </w:rPr>
      </w:pPr>
      <w:r>
        <w:rPr>
          <w:color w:val="000000"/>
          <w:sz w:val="28"/>
          <w:highlight w:val="white"/>
        </w:rPr>
        <w:t xml:space="preserve">- акция «День экологических знаний».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color w:val="000000"/>
          <w:sz w:val="28"/>
          <w:highlight w:val="white"/>
        </w:rPr>
      </w:pPr>
      <w:r>
        <w:rPr>
          <w:i/>
          <w:color w:val="000000"/>
          <w:sz w:val="28"/>
          <w:highlight w:val="white"/>
        </w:rPr>
        <w:t xml:space="preserve"> </w:t>
      </w:r>
      <w:r>
        <w:rPr>
          <w:i/>
          <w:color w:val="000000"/>
          <w:sz w:val="28"/>
          <w:highlight w:val="white"/>
        </w:rPr>
        <w:t>Всего по данным Министерства образования Камчатского края в этих мероприятиях приняло участие 24823 человек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  <w:drawing>
          <wp:anchor behindDoc="0" distT="0" distB="0" distL="0" distR="0" simplePos="0" locked="0" layoutInCell="0" allowOverlap="1" relativeHeight="71">
            <wp:simplePos x="0" y="0"/>
            <wp:positionH relativeFrom="column">
              <wp:posOffset>147320</wp:posOffset>
            </wp:positionH>
            <wp:positionV relativeFrom="paragraph">
              <wp:posOffset>93345</wp:posOffset>
            </wp:positionV>
            <wp:extent cx="2712720" cy="1761490"/>
            <wp:effectExtent l="0" t="0" r="0" b="0"/>
            <wp:wrapSquare wrapText="largest"/>
            <wp:docPr id="4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2">
            <wp:simplePos x="0" y="0"/>
            <wp:positionH relativeFrom="column">
              <wp:posOffset>3297555</wp:posOffset>
            </wp:positionH>
            <wp:positionV relativeFrom="paragraph">
              <wp:posOffset>101600</wp:posOffset>
            </wp:positionV>
            <wp:extent cx="2384425" cy="1753235"/>
            <wp:effectExtent l="0" t="0" r="0" b="0"/>
            <wp:wrapSquare wrapText="largest"/>
            <wp:docPr id="5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hanging="0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sz w:val="24"/>
        </w:rPr>
      </w:pPr>
      <w:r>
        <w:rPr>
          <w:sz w:val="24"/>
        </w:rPr>
        <w:t>Рис. 2-3. Участие детей в экологических мероприятиях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 xml:space="preserve">Еще одним крупным событием в школах края стало мероприятие «Экологический десант «Моя школа - территория моей ответственности» (уборка пришкольной территории). По данным краевого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Минобразования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>, в акции приняли участите 34459 человек.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>5 июня в Министерстве были отмечены и почетными наградами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92FF99" w:val="clear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награждены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 xml:space="preserve"> люди, которые выбрали сохранение природы региона своей профессией и образом жизни. Среди них были школьники и дошколята, победители конкурса портфолио «Юный эколог Камчатки-2023» Организацию 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данного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>конкурса уже третий год подряд осуществляют Кроноцкий заповедник и региональное Минприроды. Кроме того, педагоги школ Петропавловска-Камчатского были награждены заслуженными наградами за участие в подготовке заповедных уроков.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jc w:val="center"/>
        <w:rPr>
          <w:rFonts w:ascii="Times New Roman" w:hAnsi="Times New Roman"/>
          <w:color w:val="000000"/>
          <w:sz w:val="24"/>
        </w:rPr>
      </w:pPr>
      <w:r>
        <w:drawing>
          <wp:anchor behindDoc="0" distT="0" distB="0" distL="0" distR="0" simplePos="0" locked="0" layoutInCell="0" allowOverlap="1" relativeHeight="69">
            <wp:simplePos x="0" y="0"/>
            <wp:positionH relativeFrom="column">
              <wp:posOffset>129540</wp:posOffset>
            </wp:positionH>
            <wp:positionV relativeFrom="paragraph">
              <wp:posOffset>68580</wp:posOffset>
            </wp:positionV>
            <wp:extent cx="2546985" cy="2424430"/>
            <wp:effectExtent l="0" t="0" r="0" b="0"/>
            <wp:wrapSquare wrapText="largest"/>
            <wp:docPr id="6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0">
            <wp:simplePos x="0" y="0"/>
            <wp:positionH relativeFrom="column">
              <wp:posOffset>2837815</wp:posOffset>
            </wp:positionH>
            <wp:positionV relativeFrom="paragraph">
              <wp:posOffset>117475</wp:posOffset>
            </wp:positionV>
            <wp:extent cx="3128645" cy="2369185"/>
            <wp:effectExtent l="0" t="0" r="0" b="0"/>
            <wp:wrapSquare wrapText="largest"/>
            <wp:docPr id="7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color w:val="000000"/>
          <w:sz w:val="24"/>
        </w:rPr>
        <w:t>Рис. 4-5. Награждение победителей и участников Краевого конкурса портфолио «Юный эколог Камчатки – 2023»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rFonts w:ascii="Times New Roman" w:hAnsi="Times New Roman"/>
          <w:b/>
          <w:b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Краевой конкурс портфолио </w:t>
      </w:r>
      <w:r>
        <w:rPr>
          <w:b w:val="false"/>
          <w:i/>
          <w:caps w:val="false"/>
          <w:smallCaps w:val="false"/>
          <w:color w:val="000000"/>
          <w:spacing w:val="0"/>
          <w:sz w:val="28"/>
        </w:rPr>
        <w:t>«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Юный эколог Камчатки» проходит  в третий раз. С каждым годом растет количество участников, которые делятся своими достижениями в природоохранных акциях и экологических конкурсах самого разного уровня – от муниципального до международного. В этом году на конкурс отправили свои грамоты, дипломы и благодарности, полученные в течение года, 14 участников возрастом от 6 до 18 лет. Ребята, занявшие первые и вторые места в возрастных категориях от 10 до 14 и от 15 до 18 лет, помимо грамот и призов от Министерства, получили сертификаты на посещение Кроноцкого заповедника и Южно-Камчатского федерального заказника.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olor w:val="000000"/>
          <w:sz w:val="28"/>
          <w:shd w:fill="92FF99" w:val="clear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>Также на торжественном собрании грамоты и сертификаты на посещение Долины гейзеров получили педагоги школ Петропавловска-Камчатского, которые вместе с сотрудниками Кроноцкого заповедника принимали участие в разработке уроков «Заповедный курс «Моя Камчатка». Это учитель МБОУ «Основная школа № 5» Ирина Ананина, заместитель директора по учебно-воспитательной работе МАОУ «Средняя школа № 33» Татьяна Кобец-Борисова и директор МАОУ «Средняя школа № 43» Ольга Резникова.</w:t>
      </w:r>
    </w:p>
    <w:p>
      <w:pPr>
        <w:pStyle w:val="Style33"/>
        <w:widowControl/>
        <w:spacing w:lineRule="auto" w:line="276" w:before="0" w:after="0"/>
        <w:ind w:left="0" w:right="0" w:firstLine="624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/>
          <w:i/>
          <w:caps w:val="false"/>
          <w:smallCaps w:val="false"/>
          <w:color w:val="000000"/>
          <w:spacing w:val="0"/>
          <w:sz w:val="28"/>
        </w:rPr>
      </w:pPr>
      <w:r>
        <w:rPr>
          <w:b w:val="false"/>
          <w:i/>
          <w:caps w:val="false"/>
          <w:smallCaps w:val="false"/>
          <w:color w:val="000000"/>
          <w:spacing w:val="0"/>
          <w:sz w:val="28"/>
        </w:rPr>
        <w:t>Тематические мероприятия (познавательные викторины, экологические конкурсы, акции, практические занятия, флэш-мобы, квест-игры, беседы, презентации, викторины, выставки, занятия) по тематике Дней защиты от экологической опасности.</w:t>
      </w:r>
    </w:p>
    <w:p>
      <w:pPr>
        <w:pStyle w:val="Style33"/>
        <w:widowControl/>
        <w:spacing w:lineRule="auto" w:line="276" w:before="0" w:after="0"/>
        <w:ind w:left="0" w:right="0" w:firstLine="624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Клуб для родителей «Интеграл» провел 2 июня мастер-класс «Экологический калейдоскоп» для детей пришкольного лагеря петропавловской школы № 1. Мероприятие прошло в рамках Всемирного дня окружающей среды (Дня эколога), который отмечается 5 июня.</w:t>
      </w:r>
    </w:p>
    <w:p>
      <w:pPr>
        <w:pStyle w:val="Style33"/>
        <w:widowControl/>
        <w:tabs>
          <w:tab w:val="clear" w:pos="708"/>
          <w:tab w:val="left" w:pos="5747" w:leader="none"/>
        </w:tabs>
        <w:spacing w:lineRule="auto" w:line="276" w:before="0" w:after="0"/>
        <w:ind w:left="0" w:right="0" w:firstLine="624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Руководитель клуба Светлана Лукаш продемонстрировала участникам мастер-класс: короткометражный художественный фильм «Улыбка природы», созданный обучающимися студии «Жираф» города Санкт-Петербурга. </w:t>
      </w:r>
    </w:p>
    <w:p>
      <w:pPr>
        <w:pStyle w:val="Style33"/>
        <w:widowControl/>
        <w:tabs>
          <w:tab w:val="clear" w:pos="708"/>
          <w:tab w:val="left" w:pos="5747" w:leader="none"/>
        </w:tabs>
        <w:spacing w:lineRule="auto" w:line="276" w:before="0" w:after="0"/>
        <w:ind w:left="0" w:right="0" w:firstLine="624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Главная цель показа – рассказать детям о необходимости беречь и охранять природу. Ребята поделились своим опытом, рассказали, что они делают для сохранения природы.</w:t>
      </w:r>
    </w:p>
    <w:p>
      <w:pPr>
        <w:pStyle w:val="Style33"/>
        <w:widowControl/>
        <w:spacing w:lineRule="auto" w:line="276" w:before="0" w:after="0"/>
        <w:ind w:left="0" w:right="0" w:firstLine="510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Педагог-эколог Виктория Кубрак рассказала участникам о том, как можно использовать бумажные изделия повторно. Практическая часть мероприятия была посвящена изготовлению из одноразовых бумажных стаканчиков игры «Поймай-ка». Под руководством педагога Татьяны Гавриловой ребята успешно справились с работой.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В честь праздника «День эколога» в объединении «Юные друзья океана» (КГБОУ ДО «Камчатский дворец детского творчества») под руководством педагога Виктории Кубрак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прош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е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 xml:space="preserve">л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экоурок «Наш дом – ничего лишнего».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Ребята узнали о том, как обустройство дома и бытовые привычки влияют на благополучие планеты и всех ее обитателей. Они выяснили, откуда в наших домах появляется вода, электричество и вещи. Виктория Сергеевна объяснила, как обращаться с вещами, чтобы они служили долго и не превращались в мусор. Дети также определили, какие полезные привычки и вещи в наших домах помогают сохранить природные ресурсы, чистоту воды, воздуха и почвы. В конце урока каждый сделал книжку-памятку об экопривычках.</w:t>
      </w:r>
    </w:p>
    <w:p>
      <w:pPr>
        <w:pStyle w:val="Style33"/>
        <w:widowControl/>
        <w:spacing w:lineRule="auto" w:line="276" w:before="0" w:after="0"/>
        <w:ind w:left="-57" w:right="57" w:firstLine="624"/>
        <w:jc w:val="both"/>
        <w:rPr>
          <w:b w:val="false"/>
          <w:b w:val="false"/>
          <w:i w:val="false"/>
          <w:i w:val="false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КГАУ СЗ «Камчатский центр социальной помощи «СЕМЬЯ» 18.04.2023 в отделении профилактики безнадзорности несовершеннолетних в рамках Дней защиты от экологической опасности прошла демонстрация презентации на тему «Природа родного края, экологические проблемы».</w:t>
      </w:r>
    </w:p>
    <w:p>
      <w:pPr>
        <w:pStyle w:val="Normal"/>
        <w:widowControl/>
        <w:tabs>
          <w:tab w:val="clear" w:pos="708"/>
          <w:tab w:val="left" w:pos="5747" w:leader="none"/>
        </w:tabs>
        <w:spacing w:lineRule="auto" w:line="276" w:before="0" w:after="0"/>
        <w:ind w:left="-57" w:right="57" w:firstLine="624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Кроме того, в рамках Дня защиты от экологической опасности несовершеннолетние, посещающие группы дневного пребывания «Перекрёсток» и «Семицветик», посетили КГБУ «Камчатский объединенный музей». Экскурсовод рассказал несовершеннолетним о животных, обитающих на территории Камчатского края. В оборудованных «уголках природы» ребята вблизи смогли рассмотреть чучела животных и рыб, настоящий скелет косатки и бивни мамонта. Поговорили о таком явлении природы, как извержение вулкана, и как оно происходит, а также специалист музея продемонстрировал ребятам вулканические бомбы. Дети внимательно слушали рассказ экскурсовода, с любопытством разглядывали музейные экспонаты, активно задавали интересующие их вопросы и делились своими знаниями об истории родного края.</w:t>
      </w:r>
    </w:p>
    <w:p>
      <w:pPr>
        <w:pStyle w:val="Normal"/>
        <w:widowControl/>
        <w:tabs>
          <w:tab w:val="clear" w:pos="708"/>
          <w:tab w:val="left" w:pos="5747" w:leader="none"/>
        </w:tabs>
        <w:spacing w:lineRule="auto" w:line="276" w:before="0" w:after="0"/>
        <w:ind w:left="-57" w:right="57" w:firstLine="624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drawing>
          <wp:anchor behindDoc="0" distT="0" distB="0" distL="0" distR="0" simplePos="0" locked="0" layoutInCell="0" allowOverlap="1" relativeHeight="6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84570" cy="3431540"/>
            <wp:effectExtent l="0" t="0" r="0" b="0"/>
            <wp:wrapSquare wrapText="largest"/>
            <wp:docPr id="8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Рис. 6. Экскурсовод рассказывает несовершеннолетним о животных, обитающих на территории Камчатского края.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рамках экологического просвещения в младшей группе стационарного отделения для несовершеннолетних прошло познавательное занятие «Чудесный лес». Воспитанники узнали о многообразии лесов России, научились правильно определять их основные виды. Теперь ребята знают, чем хвойный лес отличается от лиственного, почему в сосновом бору всегда темно, а в осиновой роще шумно. Такие занятия формируют у детей способность чувствовать красоту природы, развивают эстетически, учат бережно относиться к окружающей среде.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5 июня в рамках экологического воспитания в честь празднования Дня эколога для детей КГАУСЗ «Камчатский центр социальной помощи «СЕМЬЯ», посещающих лагерь дневного пребывания «Солнышко», педагогом дополнительного образования был организован мастер-класс по нетрадиционному рисованию методом правополушарного</w:t>
      </w:r>
      <w:r>
        <w:rPr>
          <w:rFonts w:ascii="Roboto;apple-system;apple color emoji;BlinkMacSystemFont;Segoe UI;Roboto;Oxygen-Sans;Ubuntu;Cantarell;Helvetica Neue;sans-serif" w:hAnsi="Roboto;apple-system;apple color emoji;BlinkMacSystemFont;Segoe UI;Roboto;Oxygen-Sans;Ubuntu;Cantarell;Helvetica Neue;sans-serif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рисования. Это отличный способ увлечь ребенка и показать ему насколько необычным может быть творчество. Дети с большим интересом и удовольствием нарисовали березовую рощу и цветочную поляну. Также ребята узнали где растет береза, почему березу называют индикатором экологического состояния окружающей нас природы, какими целебными свойствами обладают березовая кора и листья и как эти свойства используют в традиционной и народной медицине. Такие занятия направлены на то, чтобы заложить основы экологической грамотности у детей через воспитание любви к природе и бережного отношения к ней.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>Региональные мероприятия общероссийских экологических движений: «Зеленая планета 2023»; «Региональное мероприятие Всероссийского экологического детского Фестиваля – Праздника Эколят – Молодых защитников природы 2023 года»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>В этот раз ребята продемонстрировали свои знания о природе, опыт в учебной научно-практической работе и творческие способности на муниципальном и региональном этапах II Международного детского экологического форума «Изменение климата глазами детей – 2023». Мероприятие было приурочено ко дню Земли.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sz w:val="20"/>
          <w:highlight w:val="white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>Программа Форума включает шесть конкурсов:</w:t>
      </w:r>
    </w:p>
    <w:p>
      <w:pPr>
        <w:pStyle w:val="Style33"/>
        <w:widowControl/>
        <w:numPr>
          <w:ilvl w:val="0"/>
          <w:numId w:val="0"/>
        </w:numPr>
        <w:tabs>
          <w:tab w:val="clear" w:pos="708"/>
          <w:tab w:val="left" w:pos="0" w:leader="none"/>
        </w:tabs>
        <w:spacing w:lineRule="auto" w:line="276" w:before="0" w:after="0"/>
        <w:ind w:left="709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- «Экобезопасность»;</w:t>
      </w:r>
    </w:p>
    <w:p>
      <w:pPr>
        <w:pStyle w:val="Style33"/>
        <w:widowControl/>
        <w:numPr>
          <w:ilvl w:val="0"/>
          <w:numId w:val="0"/>
        </w:numPr>
        <w:tabs>
          <w:tab w:val="clear" w:pos="708"/>
          <w:tab w:val="left" w:pos="0" w:leader="none"/>
        </w:tabs>
        <w:spacing w:lineRule="auto" w:line="276" w:before="0" w:after="0"/>
        <w:ind w:left="709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- «Изменение климата глазами детей»;</w:t>
      </w:r>
    </w:p>
    <w:p>
      <w:pPr>
        <w:pStyle w:val="Style33"/>
        <w:widowControl/>
        <w:numPr>
          <w:ilvl w:val="0"/>
          <w:numId w:val="0"/>
        </w:numPr>
        <w:tabs>
          <w:tab w:val="clear" w:pos="708"/>
          <w:tab w:val="left" w:pos="0" w:leader="none"/>
        </w:tabs>
        <w:spacing w:lineRule="auto" w:line="276" w:before="0" w:after="0"/>
        <w:ind w:left="709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- «Экоблогер»;</w:t>
      </w:r>
    </w:p>
    <w:p>
      <w:pPr>
        <w:pStyle w:val="Style33"/>
        <w:widowControl/>
        <w:numPr>
          <w:ilvl w:val="0"/>
          <w:numId w:val="0"/>
        </w:numPr>
        <w:tabs>
          <w:tab w:val="clear" w:pos="708"/>
          <w:tab w:val="left" w:pos="0" w:leader="none"/>
        </w:tabs>
        <w:spacing w:lineRule="auto" w:line="276" w:before="0" w:after="0"/>
        <w:ind w:left="709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- «ЭкоМода»;</w:t>
      </w:r>
    </w:p>
    <w:p>
      <w:pPr>
        <w:pStyle w:val="Style33"/>
        <w:widowControl/>
        <w:numPr>
          <w:ilvl w:val="0"/>
          <w:numId w:val="0"/>
        </w:numPr>
        <w:tabs>
          <w:tab w:val="clear" w:pos="708"/>
          <w:tab w:val="left" w:pos="0" w:leader="none"/>
        </w:tabs>
        <w:spacing w:lineRule="auto" w:line="276" w:before="0" w:after="0"/>
        <w:ind w:left="709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- «ЭкоЮннаты»;</w:t>
      </w:r>
    </w:p>
    <w:p>
      <w:pPr>
        <w:pStyle w:val="Style33"/>
        <w:widowControl/>
        <w:numPr>
          <w:ilvl w:val="0"/>
          <w:numId w:val="0"/>
        </w:numPr>
        <w:tabs>
          <w:tab w:val="clear" w:pos="708"/>
          <w:tab w:val="left" w:pos="0" w:leader="none"/>
        </w:tabs>
        <w:spacing w:lineRule="auto" w:line="276" w:before="0" w:after="0"/>
        <w:ind w:left="709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>- «ЭкоПоделки».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highlight w:val="white"/>
        </w:rPr>
        <w:t>В форуме приняли участие 33 образовательные организации Камчатского края. На форум 298 обучающихся представили 274 конкурсные работы. 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Труднее всего жюри было определить призеров и победителя в конкурсе «Экомода». Юные красавицы представили свои костюмы из мусорных пакетов, из газет, компакт-дисков и даже из медицинских масок.</w:t>
      </w:r>
    </w:p>
    <w:p>
      <w:pPr>
        <w:pStyle w:val="Style33"/>
        <w:widowControl/>
        <w:spacing w:lineRule="auto" w:line="276" w:before="0" w:after="0"/>
        <w:ind w:left="0" w:right="0" w:firstLine="510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Достойны восхищения и «Экоподелки»: ребята действительно постарались, включили на всю мощность фантазию и выразили главную идею с помощью природных и синтетических материалов.</w:t>
      </w:r>
    </w:p>
    <w:p>
      <w:pPr>
        <w:pStyle w:val="Style33"/>
        <w:widowControl/>
        <w:spacing w:lineRule="auto" w:line="276" w:before="0" w:after="0"/>
        <w:ind w:left="0" w:right="0" w:hanging="0"/>
        <w:jc w:val="center"/>
        <w:rPr>
          <w:i w:val="false"/>
          <w:i w:val="false"/>
          <w:caps w:val="false"/>
          <w:smallCaps w:val="false"/>
          <w:spacing w:val="0"/>
        </w:rPr>
      </w:pPr>
      <w:r>
        <w:drawing>
          <wp:anchor behindDoc="0" distT="0" distB="0" distL="0" distR="0" simplePos="0" locked="0" layoutInCell="0" allowOverlap="1" relativeHeight="66">
            <wp:simplePos x="0" y="0"/>
            <wp:positionH relativeFrom="column">
              <wp:posOffset>512445</wp:posOffset>
            </wp:positionH>
            <wp:positionV relativeFrom="paragraph">
              <wp:posOffset>-3810</wp:posOffset>
            </wp:positionV>
            <wp:extent cx="2360930" cy="1575435"/>
            <wp:effectExtent l="0" t="0" r="0" b="0"/>
            <wp:wrapSquare wrapText="largest"/>
            <wp:docPr id="9" name="Pictur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7">
            <wp:simplePos x="0" y="0"/>
            <wp:positionH relativeFrom="column">
              <wp:posOffset>3145155</wp:posOffset>
            </wp:positionH>
            <wp:positionV relativeFrom="paragraph">
              <wp:posOffset>92075</wp:posOffset>
            </wp:positionV>
            <wp:extent cx="2745105" cy="1355725"/>
            <wp:effectExtent l="0" t="0" r="0" b="0"/>
            <wp:wrapSquare wrapText="largest"/>
            <wp:docPr id="10" name="Pict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Рис. 7-8. Поделки из синтетических материалов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С 1 февраля по 3 марта 2023 года прошел региональный этап Всероссийского конкурса «Снежный городок Эколят – 2023».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этом веселом зимнем экоконкурсе участвовали 8 образовательных организаций Камчатского края, педагоги привлекли 156 детей.</w:t>
      </w:r>
    </w:p>
    <w:p>
      <w:pPr>
        <w:pStyle w:val="Style33"/>
        <w:widowControl/>
        <w:spacing w:lineRule="auto" w:line="276" w:before="0" w:after="0"/>
        <w:ind w:left="0" w:right="0" w:firstLine="709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Ребята создавали необычные снежные постройки: сами носили снег, ровняли и красили, готовили ледяные фигурки. Такая активная работа принесла много удовольствия и детям, и взрослым.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drawing>
          <wp:anchor behindDoc="0" distT="0" distB="0" distL="0" distR="0" simplePos="0" locked="0" layoutInCell="0" allowOverlap="1" relativeHeight="65">
            <wp:simplePos x="0" y="0"/>
            <wp:positionH relativeFrom="column">
              <wp:posOffset>177800</wp:posOffset>
            </wp:positionH>
            <wp:positionV relativeFrom="paragraph">
              <wp:posOffset>74295</wp:posOffset>
            </wp:positionV>
            <wp:extent cx="5396865" cy="4039235"/>
            <wp:effectExtent l="0" t="0" r="0" b="0"/>
            <wp:wrapSquare wrapText="largest"/>
            <wp:docPr id="11" name="Pictur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  <w:t>Рис. 9. Снежный городок эколят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>Подготовка Доклада о состоянии окружающей среды в Камчатском крае в 2022 году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 xml:space="preserve">Доклад о состоянии окружающей среды в Камчатском крае в 2022 году подготовлен Министерством на основе официальных данных государственной статистики и отчетности, данных государственного экологического мониторинга, иных данных, </w:t>
      </w:r>
      <w:r>
        <w:rPr>
          <w:sz w:val="28"/>
        </w:rPr>
        <w:t>представленных</w:t>
      </w:r>
      <w:r>
        <w:rPr>
          <w:sz w:val="28"/>
        </w:rPr>
        <w:t xml:space="preserve"> исполнительн</w:t>
      </w:r>
      <w:r>
        <w:rPr>
          <w:sz w:val="28"/>
        </w:rPr>
        <w:t>ыми органами</w:t>
      </w:r>
      <w:r>
        <w:rPr>
          <w:sz w:val="28"/>
        </w:rPr>
        <w:t xml:space="preserve">  Камчатского края, органами местного самоуправления, научными и общественными организациями. В Докладе отражены не только основные проблемы охраны окружающей среды и природопользования в регионе, но, в первую очередь, результаты практической реализации задач и функций исполнительных органов государственной власти в сфере охраны окружающей среды, а также результаты деятельности в этой сфере органов местного самоуправления, образовательных, научных, природоохранных учреждений, предприятий и организаций. Доклад является официальным документом, содержащим систематизированные сведения о состоянии окружающей среды в Камчатском крае, ее отдельных компонентов, в совокупности характеризующих экологическую обстановку в регионе, тенденции ее изменения под воздействием хозяйственной деятельности и природных факторов, включая сведения об использовании природных ресурсов. Доклад иллюстрирован фотографиями, рисунками, графиками, таблицами и представляет интерес для широкого круга читателей.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 xml:space="preserve">Текст доклада размещен в информационно-телекоммуникационной сети интернет, по адресу: </w:t>
      </w:r>
      <w:hyperlink r:id="rId13">
        <w:r>
          <w:rPr>
            <w:sz w:val="28"/>
          </w:rPr>
          <w:t>https://kamgov.ru/files/64f55ac61dac00.85925865.pdf</w:t>
        </w:r>
      </w:hyperlink>
      <w:r>
        <w:rPr>
          <w:sz w:val="28"/>
        </w:rPr>
        <w:t>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color w:val="000000"/>
          <w:sz w:val="28"/>
        </w:rPr>
        <w:t>Национальный праздник коренных малочисленных народов Севера, Сибири и Дальнего Востока Российской Федерации «День первой рыбы»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  <w:sz w:val="28"/>
          <w:shd w:fill="92FF99" w:val="clear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На Камчатке 12 июня отпраздновали обрядовый праздник «День первой рыбы». Он прошёл в рамках празднования Дня России. 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Обрядовая часть прошла по корякским и ительменским традициям: благодарение Духа воды и заманивание рыб в реки и моря.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Затем гости праздника перешли в этнодеревню у Култучного озера, где прошла концертно-познавательная программа. Для гостей праздника подготовили музыкально-познавательную программу с участием национальных ансамблей «КОРИТЭВ», «Уйкав», «Уйкоаль», Анатолия Сорокина, Лилии Аслаповой (Аймык) и общественного объединения «Лига ХАРАвод. Круг друзей». Также выступил камчатский бард Валерий Лихота. Для горожан был организован мастер-класс по созданию поделки в этническом стиле. В рамках праздника состоялось открытие гастрономического фестиваля «ПапоротнИКРАб».</w:t>
      </w:r>
    </w:p>
    <w:p>
      <w:pPr>
        <w:pStyle w:val="Style33"/>
        <w:widowControl/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Добавим, идея Дня первой рыбы: показать бережное отношение к природе и ее обитателям. Праздник учит гармоничному взаимоотношению с окружающей средой, рациональному ведению традиционной хозяйственной деятельности северян, связанной с рыболовством.</w:t>
      </w:r>
    </w:p>
    <w:p>
      <w:pPr>
        <w:pStyle w:val="Style33"/>
        <w:widowControl/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Напомним, что коренные народы Камчатки проводят праздник благодарения Духа воды и заманивания рыб в реки и моря с давних времен. Официально этот обряд внесен в реестр краевых праздников.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i/>
          <w:i/>
          <w:sz w:val="28"/>
        </w:rPr>
      </w:pPr>
      <w:r>
        <w:drawing>
          <wp:anchor behindDoc="0" distT="0" distB="0" distL="0" distR="0" simplePos="0" locked="0" layoutInCell="0" allowOverlap="1" relativeHeight="6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84570" cy="3422015"/>
            <wp:effectExtent l="0" t="0" r="0" b="0"/>
            <wp:wrapSquare wrapText="largest"/>
            <wp:docPr id="12" name="Pictur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Рис. 10. Выступление национального ансамбля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 xml:space="preserve">Также мероприятия, посвященные Дню первой рыбы, прошли в большинстве муниципальных образований Камчатского края.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>2. ПРИРОДООХРАННЫЕ МЕРОПРИЯТИЯ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В рамках реализации мероприятий по указанному разделу Плана в период  апрель-июнь 2023 года была продела</w:t>
      </w:r>
      <w:r>
        <w:rPr>
          <w:sz w:val="28"/>
          <w:shd w:fill="auto" w:val="clear"/>
        </w:rPr>
        <w:t>на след</w:t>
      </w:r>
      <w:r>
        <w:rPr>
          <w:sz w:val="28"/>
        </w:rPr>
        <w:t>ующая работа: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/>
      </w:pPr>
      <w:r>
        <w:rPr>
          <w:sz w:val="28"/>
        </w:rPr>
        <w:t>- в</w:t>
      </w:r>
      <w:r>
        <w:rPr/>
        <w:t xml:space="preserve"> </w:t>
      </w:r>
      <w:r>
        <w:rPr>
          <w:sz w:val="28"/>
        </w:rPr>
        <w:t xml:space="preserve">образовательных организациях Камчатского края проведены беседы, классные часы, круглые столы, конкурсы, викторины, познавательные игры, олимпиады по природоохранной тематике;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проведены дополнительные мероприятия в выходные и праздничные дни по патрулированию популярных мест отдыха жителей Камчатки и гостей полуострова - зон свободного посещения территорий, находящихся под управлением КГБУ «Природный парк «Вулканы Камчатки»;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организованы рейды по выявлению несанкционированных свалок отходов на территории различных муниципальных образований в Камчатском крае;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организованы и проведены весенние субботники, акции по санитарной очистке, благоустройства и уборке территорий населенных пунктов и водных объектов;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принято участие в экологических акциях «Чистый берег-чистое село», «Чистые берега»;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проведены тематические мероприятия (познавательные викторины, экологические конкурсы, акции, практические занятия, флэш-мобы, квест-игры, беседы, презентации, викторины, выставки, занятия).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 xml:space="preserve">Дополнительные мероприятия в выходные и праздничные дни по патрулированию популярных мест отдыха жителей Камчатки и гостей полуострова - зон свободного посещения территорий, находящихся под управлением КГБУ «Природный парк «Вулканы Камчатки»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В весенне-летний период инспекторами КГБУ «Природный парк «Вулканы Камчатки» проведено еженедельное патрулирование (в выходные дни) зон свободного посещения «Авачинская» природного парка «Налычево», северного кластера «Южно-Камчатский» (район вулканов Горелый, Мутновский).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>Рейды по выявлению несанкционированных свалок отходов на территории различных муниципальных образований в Камчатском крае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Дальневосточное межрегиональное управление Росприроднадзора по Камчатскому краю и органы местного самоуправления муниципальных образований в Камчатском крае провели рейды по выявлению несанкционированных свалок отходов на поднадзорных территориях.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color w:val="00000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ходе рейдов были обнаружены и зафиксированы несколько несанкционированных свалок отходов на территории Камчатского края. Специалисты Росприроднадзора и органов местного самоуправления провели обследование свалок, оценили степень их опасности для окружающей среды и приняли меры по их ликвидации.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ходе рейдов также были выявлены нарушения экологических правил и норм при утилизации и хранении отходов. Сотрудники Росприроднадзора и органов местного самоуправления провели проверку соответствия предприятий и организаций экологическим требованиям и приняли меры по устранению выявленных нарушений.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Основная цель проведения рейдов по выявлению несанкционированных свалок и контролю за соблюдением экологических требований – это минимизация негативного воздействия отходов на окружающую среду и сохранение природных ресурсов Камчатского края. Для этого проводятся регулярные проверки и рейды, а также предпринимаются меры по обучению населения основам экологической безопасности и правилам утилизации отходов.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Результаты рейдов и проверок передаются в соответствующие органы власти для принятия мер по наказанию нарушителей и улучшению экологической обстановки на территории Камчатского края.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>Весенние субботники, акции по санитарной очистке, благоустройства и уборке территорий населенных пунктов и водных объектов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28.04.2023 Минприроды Камчатского края проведен субботник, приуроченный к экологической акции «Вода России».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этот раз «генеральная уборка» состоялась на участке, прилегающем к мостовому переходу от мкр. Дачная к ТЦ «Мечта», через руч. Совхозный. В субботнике также принимали участие представители РОО «Союз гидов Камчатки», ГКБУ «Природный парк «Вулканы Камчатки», КГБУ «Служба по охране животного мира и государственных природных заказников Камчатского края», и добровольцы. В результате полуторачасового мероприятия на обочине дороги общими усилиями сформирована куча покрышек (более 25 шт.) и мешков с мусором (27 шт.). При проведении мероприятия отмечено, что практически весь мусор локализован вдоль тропинки и мостового перехода, что говорит о явной причастности граждан к захламлению территории.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  <w:drawing>
          <wp:anchor behindDoc="0" distT="0" distB="0" distL="0" distR="0" simplePos="0" locked="0" layoutInCell="0" allowOverlap="1" relativeHeight="6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67810" cy="3546475"/>
            <wp:effectExtent l="0" t="0" r="0" b="0"/>
            <wp:wrapSquare wrapText="largest"/>
            <wp:docPr id="13" name="Pictur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Рис.11. Субботник, приуроченный к экологической акции «Вода России»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hd w:fill="92FF99" w:val="clear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13.05.2023 Минприроды региона провело очередной субботник в Петропавловске-Камчатском. В этот раз с учетом обращений граждан было организовано мероприятие по очистке части русла ручья Кабан в районе мостового перехода около парка «Индустриальный». На этот раз мусора на первый взгляд оказалось не много. В основном то, что удалось собрать, было в самом ручье. Небольшие наносы веток и листьев в русле становятся последним пристанищем для пакетов, бутылок, бахил и пр. Все, что можно было собрать руками, было упаковано в мешки. Далее, начали уборку части русла ниже по течению относительно моста. Тут работы оказалось больше. Мусор, пластик, детали автомобилей , покрышки и даже игрушечная коляска. Достать смогли не все. По итогу за 2 часа было собрано около 25 мешков мелкого мусора. Также в ходе субботника обнаружен сброс сточных вод и участок ручья с признаками загрязнения нефтепродуктами.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drawing>
          <wp:anchor behindDoc="0" distT="0" distB="0" distL="0" distR="0" simplePos="0" locked="0" layoutInCell="0" allowOverlap="1" relativeHeight="61">
            <wp:simplePos x="0" y="0"/>
            <wp:positionH relativeFrom="column">
              <wp:posOffset>396875</wp:posOffset>
            </wp:positionH>
            <wp:positionV relativeFrom="paragraph">
              <wp:posOffset>71120</wp:posOffset>
            </wp:positionV>
            <wp:extent cx="2419350" cy="2153285"/>
            <wp:effectExtent l="0" t="0" r="0" b="0"/>
            <wp:wrapSquare wrapText="largest"/>
            <wp:docPr id="14" name="Pictur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2">
            <wp:simplePos x="0" y="0"/>
            <wp:positionH relativeFrom="column">
              <wp:posOffset>3006090</wp:posOffset>
            </wp:positionH>
            <wp:positionV relativeFrom="paragraph">
              <wp:posOffset>47625</wp:posOffset>
            </wp:positionV>
            <wp:extent cx="2703195" cy="2186305"/>
            <wp:effectExtent l="0" t="0" r="0" b="0"/>
            <wp:wrapSquare wrapText="largest"/>
            <wp:docPr id="15" name="Pictur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Рис. 12-13. Очистке части русла ручья Кабан в районе мостового перехода около парка «Индустриальный»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rFonts w:ascii="Times New Roman" w:hAnsi="Times New Roman"/>
          <w:color w:val="00000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16 мая 2023 «Союз гидов Камчатки» организовал субботник на местах цветения лизихитонов. В экологической акции от «Союз гидов Камчатки» участвовали представители общественной организации «Экология Камчатка», сотрудники Министерства туризма Камчатского края и АНО «Камчатский выставочно-туристический центр».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hanging="0"/>
        <w:jc w:val="both"/>
        <w:rPr>
          <w:rFonts w:ascii="Times New Roman" w:hAnsi="Times New Roman"/>
          <w:color w:val="000000"/>
          <w:sz w:val="28"/>
        </w:rPr>
      </w:pPr>
      <w:r>
        <w:rPr>
          <w:color w:val="000000"/>
          <w:sz w:val="28"/>
        </w:rPr>
        <w:drawing>
          <wp:anchor behindDoc="0" distT="0" distB="0" distL="0" distR="0" simplePos="0" locked="0" layoutInCell="0" allowOverlap="1" relativeHeight="60">
            <wp:simplePos x="0" y="0"/>
            <wp:positionH relativeFrom="column">
              <wp:posOffset>1211580</wp:posOffset>
            </wp:positionH>
            <wp:positionV relativeFrom="paragraph">
              <wp:posOffset>24130</wp:posOffset>
            </wp:positionV>
            <wp:extent cx="3489325" cy="1751965"/>
            <wp:effectExtent l="0" t="0" r="0" b="0"/>
            <wp:wrapSquare wrapText="largest"/>
            <wp:docPr id="16" name="Pictur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center"/>
        <w:rPr>
          <w:rFonts w:ascii="Times New Roman" w:hAnsi="Times New Roman"/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center"/>
        <w:rPr>
          <w:rFonts w:ascii="Times New Roman" w:hAnsi="Times New Roman"/>
          <w:color w:val="000000"/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Рис. 14. «Союз гидов Камчатки» организовал субботник на местах цветения лизихитонов.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  <w:sz w:val="28"/>
          <w:shd w:fill="92FF99" w:val="clear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Региональная общественная организация «Союз гидов Камчатки» уже третий год является организатором проведения субботника на одной из популярных точек притяжения жителей и гостей края – местах цветения лизихитонов. В этом году около 30 мешков мусора было вывезено с мест цветения лизихитонов.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По словам организаторов субботника, поддержку в организации мероприятия оказала администрация Усть-Большерецкого района, которая взяла на себя вывоз мусора, а также предоставила скидку на аренду транспорта для участников экологической акции.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center"/>
        <w:rPr>
          <w:sz w:val="24"/>
        </w:rPr>
      </w:pPr>
      <w:r>
        <w:drawing>
          <wp:anchor behindDoc="0" distT="0" distB="0" distL="0" distR="0" simplePos="0" locked="0" layoutInCell="0" allowOverlap="1" relativeHeight="5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84570" cy="4563110"/>
            <wp:effectExtent l="0" t="0" r="0" b="0"/>
            <wp:wrapSquare wrapText="largest"/>
            <wp:docPr id="17" name="Pictur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Рис. 15. Субботник на местах цветения лизихитонов.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С 14 по 20 мая в Камчатском крае прошел марафон «ЭкоДВИЖ Первых», инициаторами которого стали ребята из Лиги клубов «Большой перемены» при поддержке образовательно-научного центра «Ойкумена» и краевой научной библиотеки имени С. П. Крашенинникова.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К мероприятиям марафона активно подключились участники движения «Зеленые школы». В эти дни в нескольких образовательных организациях прошел сбор вторичного сырья: пластиковых бутылок, крышек, пластиковых макетов, макулатуры. Все собранное было передано в мастерскую переработки центра «Ойкумена».</w:t>
      </w:r>
    </w:p>
    <w:p>
      <w:pPr>
        <w:pStyle w:val="Style33"/>
        <w:widowControl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Завершился марафон с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л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е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то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м экоактивистов. Все пришедшие приняли участие в квизе, мастер-классах, эко-практикуме и форсайт-сессии «Движение юных натуралистов».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/>
      </w:pPr>
      <w:r>
        <w:rPr>
          <w:color w:val="000000"/>
          <w:sz w:val="28"/>
        </w:rPr>
        <w:t xml:space="preserve">27 мая состоялась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экологическая акция «Чистые игры», которая прошла в микрорайоне Горизонт-Север. Весенние «Чистые игры» прошли в рамках проекта «Мультикультурный экодружелюбный арт-фестиваль «День вулкана», который реализуется АНО «Камчатский выставочно-туристический центр» при поддержке Президентского фонда культурных инициатив.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мероприятии приняли участие все желающие, а также дети, которые совместно с родителями и педагогами посетили акцию и принесли пользу родному краю.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Всего событие посетили 87 человек. Было собрано 153 мешка мусора общим весом 3,5 тонн. Интересные артефакты, которые были найдены во время акции были переданы художникам, которые используют их в своих инсталляциях (арт-объектах). </w:t>
      </w:r>
    </w:p>
    <w:p>
      <w:pPr>
        <w:pStyle w:val="Style33"/>
        <w:tabs>
          <w:tab w:val="clear" w:pos="708"/>
          <w:tab w:val="left" w:pos="5747" w:leader="none"/>
        </w:tabs>
        <w:spacing w:lineRule="auto" w:line="276" w:before="0" w:after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«Чистые Игры» - это командные соревнования по очистке природных территорий от мусора. Кроме того, это увлекательная игра с призами, где участники ищут артефакты, решают экологические загадки, собирают и разделяют мусор, получая за это баллы. В рамках одной игры собирается в среднем от одной до трех тонн мусора. Организатором мероприятия выступает общественная организация «ЭкоКАМЧА».</w:t>
      </w:r>
    </w:p>
    <w:p>
      <w:pPr>
        <w:pStyle w:val="Style33"/>
        <w:widowControl/>
        <w:ind w:left="0" w:right="0" w:hanging="0"/>
        <w:rPr>
          <w:sz w:val="28"/>
        </w:rPr>
      </w:pPr>
      <w:r>
        <w:rPr>
          <w:sz w:val="28"/>
        </w:rPr>
        <w:drawing>
          <wp:anchor behindDoc="0" distT="0" distB="0" distL="0" distR="0" simplePos="0" locked="0" layoutInCell="0" allowOverlap="1" relativeHeight="58">
            <wp:simplePos x="0" y="0"/>
            <wp:positionH relativeFrom="column">
              <wp:posOffset>862965</wp:posOffset>
            </wp:positionH>
            <wp:positionV relativeFrom="paragraph">
              <wp:posOffset>55880</wp:posOffset>
            </wp:positionV>
            <wp:extent cx="4652010" cy="2686685"/>
            <wp:effectExtent l="0" t="0" r="0" b="0"/>
            <wp:wrapSquare wrapText="largest"/>
            <wp:docPr id="18" name="Pictur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hanging="0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hanging="0"/>
        <w:jc w:val="center"/>
        <w:rPr/>
      </w:pPr>
      <w:r>
        <w:rPr/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hanging="0"/>
        <w:jc w:val="center"/>
        <w:rPr/>
      </w:pPr>
      <w:r>
        <w:rPr/>
        <w:t>Рис. 16. Команды участников «Чистых игр»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rPr>
          <w:sz w:val="28"/>
        </w:rPr>
      </w:pPr>
      <w:r>
        <w:rPr>
          <w:sz w:val="28"/>
        </w:rPr>
        <w:t>3. МЕРОПРИЯТИЯ ПО ЭКОЛОГИЧЕСКОМУ ОБРАЗОВАНИЮ И ПРОСВЕЩЕНИЮ НАСЕЛЕНИЯ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rPr>
          <w:sz w:val="28"/>
        </w:rPr>
      </w:pPr>
      <w:r>
        <w:rPr>
          <w:sz w:val="28"/>
        </w:rPr>
        <w:t>В рамках реализации мероприятий по указанному разделу Плана в период апрель-июнь 2023 года была проведена, в том числе, следующая работа: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/>
      </w:pPr>
      <w:r>
        <w:rPr>
          <w:sz w:val="28"/>
        </w:rPr>
        <w:t>- тематические мероприятия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населения в различных форматах: мастер классов, онлайн выставок, общешкольных уроков, обрядовых праздников, выставок, онлайн игр, экоуроков, конкурсов.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pacing w:val="-2"/>
          <w:sz w:val="28"/>
        </w:rPr>
      </w:pPr>
      <w:r>
        <w:rPr>
          <w:spacing w:val="-2"/>
          <w:sz w:val="28"/>
        </w:rPr>
        <w:t>-  региональный этап II Международного детского экологического форума;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pacing w:val="-2"/>
          <w:sz w:val="28"/>
        </w:rPr>
      </w:pPr>
      <w:r>
        <w:rPr>
          <w:spacing w:val="-2"/>
          <w:sz w:val="28"/>
        </w:rPr>
        <w:t>- в образовательных организациях Камчатского края беседы, классные часы, круглые столы, конкурсы, викторины, познавательные игры, олимпиады по природоохранной тематике;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pacing w:val="-2"/>
          <w:sz w:val="28"/>
        </w:rPr>
      </w:pPr>
      <w:r>
        <w:rPr>
          <w:spacing w:val="-2"/>
          <w:sz w:val="28"/>
        </w:rPr>
        <w:t>- реализован выпуск статей, заметок, посвященных проведению в 2023 году Дней защиты от экологической опасности в Камчатском крае, в СМИ и в информационно-телекоммуникационной сети интернет.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>Проведение тематических мероприятий по экологическому образованию и просвещению населения в различных форматах: мастер классов, онлайн выставок, общешкольных уроков, обрядовых праздников, выставок, онлайн игр, экоуроков, конкурсов, научных конференций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/>
      </w:pPr>
      <w:r>
        <w:rPr>
          <w:color w:val="000000"/>
          <w:sz w:val="28"/>
        </w:rPr>
        <w:t xml:space="preserve">КГБУ «Камчатская краевая детская библиотека имени В. Кручины»,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3 июля в 18:00, на территории набережной города, для детей с особенностями здоровья провела мероприятие экологической направленности «Жизнь тихоокеанских лососей». Юные читатели краевой детской библиотеки в игровой форме познакомились с жизненным циклом рыб лососевой породы, узнали почему лосось красный, чем он отличается от других рыб и кого называют «королем лососей». Особое внимание сотрудники библиотеки уделили вопросам сохранения естественного воспроизводства лососевых и бережного отношения к природе.</w:t>
      </w:r>
    </w:p>
    <w:p>
      <w:pPr>
        <w:pStyle w:val="Style65"/>
        <w:widowControl/>
        <w:spacing w:lineRule="auto" w:line="276" w:before="0" w:after="0"/>
        <w:ind w:left="0" w:right="0" w:firstLine="624"/>
        <w:jc w:val="both"/>
        <w:rPr/>
      </w:pPr>
      <w:r>
        <w:rPr>
          <w:b w:val="false"/>
          <w:sz w:val="28"/>
          <w:u w:val="none"/>
        </w:rPr>
        <w:t>В июне 2023 года в КГБУ «Корякский центр народного творчества» с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u w:val="none"/>
        </w:rPr>
        <w:t xml:space="preserve">тартовал краевой конкурс детских рисунков «Легенда о Соколе». Детям от 9 до 17 лет предлагалось подготовить творческую работу на одну из тем: «Камчатский сокол», «Соколиная охота», «Жизнь сокола и места обитания» или «Сказки, легенды и былины о соколе». Победители конкурса были награждены дипломами лауреатов, ценными призами и поездкой на экскурсию на соколиную ферму в Мильковский район. 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</w:rPr>
        <w:t>Данный конкурс проходил по всему краю, в нем приняли участие, в том числе, Камчатская краевая детская библиотека, КГУ «Камчатский театр кукол», Камчатский центр народного творчества и многие другие.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рамках проведения Дней экологии в Камчатском крае, преподаватели и учащиеся художественного отделения КГБУ ДО «Корякская детская школа искусств им. Д. Б. Кабалевского», подготовили выставку детских рисунков «Зелен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а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я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планета». Такие работы вдохновляют на бережное отношение к природе и заставляют задуматься о последствиях нашего влияния на экосистему. Они напоминают о том, что каждое действие имеет свои последствия и что мы должны проявлять ответственность в отношении окружающей среды. Картины природы, созданные учениками, также способствуют развитию в них наблюдательности и эстетического восприятия. Они учат детей видеть и ценить прекрасное вокруг себя, развивают их творческий потенциал и воображение. Кроме того, такие произведения иллюстрируют важность сохранения биоразнообразия и охраны природы. Они показывают, как много прекрасных и удивительных существ существует на нашей планете и как важно сохранять их среду обитания.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Таким образом, работы учеников, изображающие природу, не только являются проявлением их художественного таланта, но и напоминают о важности бережного отношения к окружающей среде и сохранении ее красоты и разнообразия для будущих поколений.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drawing>
          <wp:anchor behindDoc="0" distT="0" distB="0" distL="0" distR="0" simplePos="0" locked="0" layoutInCell="0" allowOverlap="1" relativeHeight="57">
            <wp:simplePos x="0" y="0"/>
            <wp:positionH relativeFrom="column">
              <wp:posOffset>1234440</wp:posOffset>
            </wp:positionH>
            <wp:positionV relativeFrom="paragraph">
              <wp:posOffset>50165</wp:posOffset>
            </wp:positionV>
            <wp:extent cx="3545840" cy="2486660"/>
            <wp:effectExtent l="0" t="0" r="0" b="0"/>
            <wp:wrapSquare wrapText="largest"/>
            <wp:docPr id="19" name="Pictur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Рис. 17. Выставка детских рисунков «Зелена планета».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05.05.2023 года преподаватели Корякской детской школы искусств им. Д.Б.Кабалевского приняли участие в общепоселковом субботнике (акция «Чистый край»).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  <w:drawing>
          <wp:anchor behindDoc="0" distT="0" distB="0" distL="0" distR="0" simplePos="0" locked="0" layoutInCell="0" allowOverlap="1" relativeHeight="56">
            <wp:simplePos x="0" y="0"/>
            <wp:positionH relativeFrom="column">
              <wp:posOffset>1075055</wp:posOffset>
            </wp:positionH>
            <wp:positionV relativeFrom="paragraph">
              <wp:posOffset>71120</wp:posOffset>
            </wp:positionV>
            <wp:extent cx="3934460" cy="2400300"/>
            <wp:effectExtent l="0" t="0" r="0" b="0"/>
            <wp:wrapSquare wrapText="largest"/>
            <wp:docPr id="20" name="Pictur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Рис 18. Преподаватели Корякской детской школы искусств им. Д.Б.Кабалевского приняли участие в Общепоселковом субботнике (акция «Чистый край»)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/>
      </w:pPr>
      <w:r>
        <w:rPr>
          <w:color w:val="000000"/>
          <w:sz w:val="28"/>
        </w:rPr>
        <w:t>27.04.2023 КГБУ «Камчатская краевая научная библиотека им. С.П. Крашенинникова» провела э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кскурсию «Тепло родовых очагов». С давних времен обитатели Камчатки живут в гармонии с природой. От нее зависят занятия людей, а также специфика гастрономических предпочтений. Камчатка – это совершенно иной кулинарный мир. Какое кушанье почиталось у камчадалов за ржаной хлеб? Как варили мясо морских и земных животных? Что такое селага? Что пили местные жители для веселья? Обо всем этом рассказали гостям экскурсии. Каждый почувствовал себя настоящим ительменом или коряком, посетив традиционное жилище, подержав в руках предметы быта, постучав в бубен и выпив чашечку ароматного камчатского чая из дикоросов и отведав угощение в этностиле.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В 2023 году на базе КГБУ «Камчатская краевая научная библиотека им. С.П. Крашенинникова» проведена ежегодная научно-практическая конференция </w:t>
      </w:r>
      <w:r>
        <w:rPr>
          <w:b w:val="false"/>
          <w:i w:val="false"/>
          <w:caps w:val="false"/>
          <w:smallCaps w:val="false"/>
          <w:spacing w:val="0"/>
          <w:sz w:val="28"/>
        </w:rPr>
        <w:t xml:space="preserve">«Сохранение биоразнообразия Камчатки и прилегающих морей».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spacing w:val="0"/>
          <w:sz w:val="28"/>
        </w:rPr>
      </w:pPr>
      <w:r>
        <w:rPr>
          <w:b w:val="false"/>
          <w:i w:val="false"/>
          <w:caps w:val="false"/>
          <w:smallCaps w:val="false"/>
          <w:spacing w:val="0"/>
          <w:sz w:val="28"/>
        </w:rPr>
        <w:t>Организаторы конференции – Камчатский филиал Тихоокеанского института географии (КФ ТИГ) ДВО РАН, Камчатское краевое отделение РГО, Камчатская краевая научная библиотека имени С.П. Крашенинникова.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Цель конференции – анализ современного состояния, степени изученности и проблем сохранения биологического разнообразия Камчатки и прилегающих к ней территорий и морских акваторий при возрастающем антропогенном воздействии; проблемы рационального использования водных биоресурсов водоёмов Камчатки и прикамчатских вод; принципы, проблемы и перспективы функционирования особо охраняемых природных территорий.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 конференции традиционно рассмотрели следующие основные темы: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1. История изучения и современное биологическое разнообразие Камчатки.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2. Теоретические и методологические аспекты сохранения биологического разнообразия.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3. Проблемы сохранения биологического разнообразия Камчатки в условиях возрастающего антропогенного воздействия.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 Особенности сохранения биологического разнообразия морских прибрежных экосистем Камчатки.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5. Проблемы рационального использования водных биоресурсов водоёмов Камчатки и прикамчатских вод.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6. Научные исследования и мониторинг на особо охраняемых природных территориях.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7. Эколого-просветительская деятельность в Камчатском крае.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8. Виды, занесенные в Красную книгу: состояние в Камчатском крае и сопредельных регионах.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9. Проблемы сохранения биологического разнообразия на сопредельных с Камчаткой территориях и акваториях.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>Мероприятия по экологическому образованию и просвещению, профилактические беседы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/>
      </w:pPr>
      <w:r>
        <w:rPr>
          <w:sz w:val="28"/>
        </w:rPr>
        <w:t>Агентством лесного хозяйства Камчатского края были проведены м</w:t>
      </w:r>
      <w:r>
        <w:rPr>
          <w:i w:val="false"/>
          <w:sz w:val="28"/>
        </w:rPr>
        <w:t>ероприятия по экологическому образованию и просвещению. Было проведено в общей сложности 45 открытых уроков на тему: «Останови огонь» и 12 просветительских акций на эту же тему. Мероприятия прошли, в том числе, и в районах края. В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мае 2023 года в  Корякской средней школе прошел открытый урок на тему «Останови огонь». Учащихся ознакомили с методами тушения лесных пожаров с помощью пожарного оборудования и техники. Были продемонстрированы видеоматериалы, как возникает, действует и тушится пожар. Детям объяснили какие меры безопасности необходимо соблюдать, находясь в лесу, какие действия необходимо предпринимать при возникновении возгорания, узнали как правильно разводить костры в лесах.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Специалисты Атласовского лесничества провели профилактический рейд в рамках противопожарной кампании «Останови огонь!». Жителям напомнили порядок действий в случае попадания в зону лесного пожара, номера вызовов экстренных оперативных служб. Также гражданам рассказали об административной ответственности за нарушение правил пожарной безопасности. Специалисты Атласовского лесничества считают профилактические мероприятия одним из приоритетных направлений борьбы с лесными пожарами. Всего проведено: 323 разъяснительные беседы с населением, 7 профилактических лекций, 423 информационных листовок роздано.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Сотрудники Мильковского авиаотделения КГАУ «Охрана камчатских лесов» и КГКУ «Камчатские лесничества» провели открытый урок с учениками школы № 1 села Мильково. Учащихся ознакомили с методами тушения лесных пожаров с помощью пожарного оборудования и техники. Были продемонстрированы видеоматериалы как возникает, действует и тушится пожар. Детям объяснили какие меры безопасности необходимо соблюдать, находясь в лесу, какие действия необходимо предпринимать при возникновении возгорания, как правильно разводить костры в лесах, задавали интересующие их вопросы.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drawing>
          <wp:anchor behindDoc="0" distT="0" distB="0" distL="0" distR="0" simplePos="0" locked="0" layoutInCell="0" allowOverlap="1" relativeHeight="5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88915" cy="3470910"/>
            <wp:effectExtent l="0" t="0" r="0" b="0"/>
            <wp:wrapSquare wrapText="largest"/>
            <wp:docPr id="21" name="Picture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Рис. 19. Открытый урок для школьников с. Мильково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Агентством лесного хозяйства Камчатского края в 2023 годы были проведены профилактические беседы с гражданами, а также были распространены листовки с информацией о пожарной и санитарной безопасности в лесу. Всего было проведено 1740 бесед и распространено 6232 листовки.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Министерство социального благополучия и семейной политики Камчатского края провело ряд мероприятий в рамках Дней защиты от экологической опасности. В рамках вышеуказанн</w:t>
      </w:r>
      <w:r>
        <w:rPr>
          <w:sz w:val="28"/>
        </w:rPr>
        <w:t>ых</w:t>
      </w:r>
      <w:r>
        <w:rPr>
          <w:sz w:val="28"/>
        </w:rPr>
        <w:t xml:space="preserve"> мероприят</w:t>
      </w:r>
      <w:r>
        <w:rPr>
          <w:sz w:val="28"/>
        </w:rPr>
        <w:t>ий</w:t>
      </w:r>
      <w:r>
        <w:rPr>
          <w:sz w:val="28"/>
          <w:shd w:fill="92FF99" w:val="clear"/>
        </w:rPr>
        <w:t xml:space="preserve"> </w:t>
      </w:r>
      <w:r>
        <w:rPr>
          <w:sz w:val="28"/>
        </w:rPr>
        <w:t>учреждениями охвачена аудитория более 340 человек, большинство из которых дети-сироты и дети, оставшиеся без попечения родителей, с ограниченными возможностями здоровья, а также граждане пожилого возраста и инвалиды. Активное участие в данном мероприятии принимали сотрудники учреждений и сторонние получатели социальных услуг.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Так, например, 17.05.2023 в рамках Дней защиты от экологической опасности специалистами отделения КГАУ СЗ «Паланский КЦСОН» был изготовлен и распространен информационный материал (памятка) для детей и родителей на тему «Как снизить вред природе». Цель данного мероприятия – привлечь внимание к проблеме экологии; рассказать о предоставлении возможности внести свой вклад в защиту окружающей среды; способствовать формированию личной ответственности каждого человека за судьбу природы, усвоение основной заповеди человека по отношению к природе – «не навреди!». Охват в рамках только одного мероприятия составил 11 семей.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В Краевом государственном автономном стационарном учреждении социальной защиты «Паратунский дом-интернат для престарелых и инвалидов» с 02.05.2023 по 04.05.2023 в беседах «Животные наши друзья» приняли участие 45 благополучателей.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В ходе проведения Дней защиты от экологической опасности были организованы такие акции как очистка территории (в том числе прилегающей к водоемам), озеленение территорий (разбивка клумб и высадка саженцев).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Вместе с этими специалистами учреждений были проведены круглые столы и викторины, а также подготовлены листовки на тему пожарной профилактики и противопожарной защиты.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Для воспитанников, проживающих в учреждениях, были организованы квесты и игры на тему экологического туризма и заповедной природы.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В рамках Дней защиты от экологической опасности были рассмотрены как местные, так и глобальные природоохранные проблемы.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i/>
          <w:i/>
          <w:sz w:val="28"/>
        </w:rPr>
      </w:pPr>
      <w:r>
        <w:rPr>
          <w:i/>
          <w:sz w:val="28"/>
        </w:rPr>
        <w:t>Выпуск статей, заметок, посвященных проведению в 2023 году Дней защиты от экологической опасности в Камчатском крае, в СМИ и в информационно-телекоммуникационной сети «Интернет»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Министерство провело работу по освещению мероприятий, включенных в план</w:t>
      </w:r>
      <w:r>
        <w:rPr/>
        <w:t xml:space="preserve"> </w:t>
      </w:r>
      <w:r>
        <w:rPr>
          <w:sz w:val="28"/>
        </w:rPr>
        <w:t>мероприятий по проведению Дней защиты от экологической опасности в Камчатском крае на 2023 год, как на официальном сайте исполнительных органов власти Камчатского края в информационно-телекоммуникационной сети интернет, так и в социальных сетях на странице Министерства.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4. ИТОГИ ДНЕЙ ЗАЩИТЫ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В мероприятиях по проведению Дней защиты от экологической опасности в 2023 году в Камчатском крае в качестве исполнителей участвовали все  органы местного самоуправления Камчатского края, а также ряд заинтересованных министерств, агентств и ведомств федерального и регионального подчинения, в том числе: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- Министерство природных ресурсов и экологии Камчатского края;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- Министерство культуры Камчатского края;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- Министерство образования Камчатского края;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Министерство социального благополучия и семейной политики Камчатского края;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- Агентство лесного хозяйства Камчатского края;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sz w:val="28"/>
        </w:rPr>
        <w:t>- Дальневосточное межрегиональное управление Росприроднадзора по Камчатскому краю.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рамках проведения Дней защиты было организовано и проведено множество мероприятий, направленных на экологическое воспитание и просвещение. В образовательных учреждениях края прошли конкурсы детских творческих работ и уроки, посвященные экологической культуре. Также были организованы конференции, выставки и экологические акции, на которых были представлены работы связанные с экологией, охраной окружающей среды и природоохранными мероприятиями. Были подготовлены информационные материалы, включающие заметки и статьи, с основной тематикой по экологии и природоохранной деятельности.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Организация экологических мероприятий в рамках Дней защиты играет важную роль в формировании экологического сознания у молодого поколения.  Проведенные мероприятия способствуют развитию интереса к исследовательской и природоохранной деятельности.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Основной целью проведения Дней защиты в Камчатском крае является сохранение, поддержка и улучшение экологической обстановки на территории региона. Важной задачей является привлечение максимального числа участников к мероприятиям, а также развитие интереса у детей и молодежи к окружающему миру и сохранению уникальной природы Камчатки. Кроме того, одной из целей является распространение знаний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о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б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экологической безопасности и здоровом образе жизни, а также формирование нового экологического мышления у молодого поколения. Важной задачей также является привлечение внимания к решению экологических проблем.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Организация и проведение мероприятий в рамках Дней защиты природы в Камчатском крае привлекли вниман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и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hd w:fill="auto" w:val="clear"/>
        </w:rPr>
        <w:t>е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общества к экологическим проблемам региона. Мероприятия способствовали активизации работы экологических организаций и объединений, а также привлекли учащихся и воспитанников различных образовательных учреждений к участию в решении важных экологических проблем.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Организация Дней защиты природы также способствовала формированию экологического мировоззрения у населения Камчатского края. Благодаря проводимым мероприятиям, жители региона получили возможность более глубокого понимания важности сохранения окружающей среды и влияния своих действий на экологическую ситуацию. Это помогло повысить осознание гражданами необходимости ответственного отношения к окружающей среде и принятия участия в ее защите.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Мероприятия стали площадкой для обмена опытом, идеями и лучшими практиками в области охраны окружающей среды, что позволило улучшить сотрудничество и координацию усилий между организациями, что в свою очередь привело к более эффективным результатам в решении экологических проблем.</w:t>
      </w:r>
      <w:r>
        <w:rPr>
          <w:caps w:val="false"/>
          <w:smallCaps w:val="false"/>
          <w:color w:val="000000"/>
          <w:spacing w:val="0"/>
          <w:sz w:val="28"/>
        </w:rPr>
        <w:t xml:space="preserve"> 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sz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</w:rPr>
        <w:t>В 2023 году Дни защиты от экологической опасности в Камчатском крае успешно справились с задачей по объединению и координации усилий различных органов власти, природоохранных органов, природоохранных учреждений, организаций образования, культуры, общественных объединений и населения. Главная цель мероприятий заключалась в оздоровлении окружающей среды и обеспечении экологической безопасности в регионе.</w:t>
      </w:r>
    </w:p>
    <w:p>
      <w:pPr>
        <w:pStyle w:val="Normal"/>
        <w:tabs>
          <w:tab w:val="clear" w:pos="708"/>
          <w:tab w:val="left" w:pos="5747" w:leader="none"/>
        </w:tabs>
        <w:spacing w:lineRule="auto" w:line="276"/>
        <w:ind w:left="0" w:right="0" w:firstLine="567"/>
        <w:jc w:val="both"/>
        <w:rPr>
          <w:rFonts w:ascii="Times New Roman" w:hAnsi="Times New Roman"/>
          <w:sz w:val="28"/>
        </w:rPr>
      </w:pPr>
      <w:r>
        <w:rPr>
          <w:sz w:val="28"/>
        </w:rPr>
        <w:t>Таким образом, организация и проведение мероприятий в рамках Дней защиты природы в Камчатском крае имели положительный вклад в привлечение внимания к экологическим проблемам, активизацию экологических объединений, вовлечение школьников и студентов в решение экологических проблем и формирование экологического сознания у населения региона.</w:t>
      </w:r>
    </w:p>
    <w:sectPr>
      <w:headerReference w:type="default" r:id="rId24"/>
      <w:footerReference w:type="default" r:id="rId25"/>
      <w:type w:val="nextPage"/>
      <w:pgSz w:w="11906" w:h="16838"/>
      <w:pgMar w:left="1729" w:right="595" w:gutter="0" w:header="736" w:top="1162" w:footer="736" w:bottom="793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XO Thames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Open Sans">
    <w:charset w:val="01"/>
    <w:family w:val="roman"/>
    <w:pitch w:val="variable"/>
  </w:font>
  <w:font w:name="Roboto">
    <w:altName w:val="apple-system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41"/>
      <w:jc w:val="right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3990"/>
              <wp:effectExtent l="0" t="0" r="0" b="0"/>
              <wp:wrapSquare wrapText="bothSides"/>
              <wp:docPr id="22" name="Pictur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0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1" path="m0,0l-2147483645,0l-2147483645,-2147483646l0,-2147483646xe" stroked="f" o:allowincell="f" style="position:absolute;margin-left:466.95pt;margin-top:0.05pt;width:12pt;height:13.65pt;mso-wrap-style:none;v-text-anchor:middle;mso-position-horizontal:right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</w:r>
    <w:r>
      <mc:AlternateContent>
        <mc:Choice Requires="wps">
          <w:drawing>
            <wp:anchor behindDoc="0" distT="0" distB="0" distL="0" distR="0" simplePos="0" locked="0" layoutInCell="0" allowOverlap="1" relativeHeight="100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24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2.05pt;height:13.8pt;mso-wrap-distance-left:0pt;mso-wrap-distance-right:0pt;mso-wrap-distance-top:0pt;mso-wrap-distance-bottom:0pt;margin-top:0.05pt;mso-position-vertical-relative:text;margin-left:0pt;mso-position-horizontal:left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46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Lohit Devanagari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semiHidden="0" w:unhideWhenUsed="0" w:qFormat="1"/>
    <w:lsdException w:name="heading 8" w:uiPriority="9" w:semiHidden="0" w:unhideWhenUsed="0" w:qFormat="1"/>
    <w:lsdException w:name="heading 9" w:uiPriority="9" w:semiHidden="0" w:unhideWhenUsed="0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1">
    <w:name w:val="Heading 1"/>
    <w:basedOn w:val="Normal"/>
    <w:uiPriority w:val="9"/>
    <w:qFormat/>
    <w:pPr>
      <w:keepNext w:val="true"/>
      <w:spacing w:before="240" w:after="60"/>
      <w:outlineLvl w:val="0"/>
    </w:pPr>
    <w:rPr>
      <w:rFonts w:ascii="Arial" w:hAnsi="Arial"/>
      <w:b/>
      <w:sz w:val="32"/>
    </w:rPr>
  </w:style>
  <w:style w:type="paragraph" w:styleId="2">
    <w:name w:val="Heading 2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1"/>
    </w:pPr>
    <w:rPr>
      <w:rFonts w:ascii="Arial" w:hAnsi="Arial" w:eastAsia="Tahoma" w:cs="Lohit Devanagari"/>
      <w:color w:val="000000"/>
      <w:spacing w:val="0"/>
      <w:kern w:val="0"/>
      <w:sz w:val="34"/>
      <w:szCs w:val="20"/>
      <w:lang w:val="ru-RU" w:eastAsia="zh-CN" w:bidi="hi-IN"/>
    </w:rPr>
  </w:style>
  <w:style w:type="paragraph" w:styleId="3">
    <w:name w:val="Heading 3"/>
    <w:basedOn w:val="Normal"/>
    <w:uiPriority w:val="9"/>
    <w:qFormat/>
    <w:pPr>
      <w:keepNext w:val="true"/>
      <w:keepLines/>
      <w:spacing w:before="320" w:after="200"/>
      <w:outlineLvl w:val="2"/>
    </w:pPr>
    <w:rPr>
      <w:rFonts w:ascii="Arial" w:hAnsi="Arial"/>
      <w:sz w:val="30"/>
    </w:rPr>
  </w:style>
  <w:style w:type="paragraph" w:styleId="4">
    <w:name w:val="Heading 4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3"/>
    </w:pPr>
    <w:rPr>
      <w:rFonts w:ascii="Arial" w:hAnsi="Arial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5">
    <w:name w:val="Heading 5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4"/>
    </w:pPr>
    <w:rPr>
      <w:rFonts w:ascii="Arial" w:hAnsi="Arial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6">
    <w:name w:val="Heading 6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5"/>
    </w:pPr>
    <w:rPr>
      <w:rFonts w:ascii="Arial" w:hAnsi="Arial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paragraph" w:styleId="7">
    <w:name w:val="Heading 7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b/>
      <w:i/>
      <w:color w:val="000000"/>
      <w:spacing w:val="0"/>
      <w:kern w:val="0"/>
      <w:sz w:val="22"/>
      <w:szCs w:val="20"/>
      <w:lang w:val="ru-RU" w:eastAsia="zh-CN" w:bidi="hi-IN"/>
    </w:rPr>
  </w:style>
  <w:style w:type="paragraph" w:styleId="8">
    <w:name w:val="Heading 8"/>
    <w:basedOn w:val="Normal"/>
    <w:uiPriority w:val="9"/>
    <w:qFormat/>
    <w:pPr>
      <w:keepNext w:val="true"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i/>
      <w:color w:val="000000"/>
      <w:spacing w:val="0"/>
      <w:kern w:val="0"/>
      <w:sz w:val="21"/>
      <w:szCs w:val="20"/>
      <w:lang w:val="ru-RU" w:eastAsia="zh-CN" w:bidi="hi-IN"/>
    </w:rPr>
  </w:style>
  <w:style w:type="character" w:styleId="EndnoteSymbol">
    <w:name w:val="Endnote Symbol"/>
    <w:link w:val="EndnoteSymbol1"/>
    <w:qFormat/>
    <w:rPr>
      <w:rFonts w:ascii="Times New Roman" w:hAnsi="Times New Roman"/>
      <w:color w:val="000000"/>
      <w:spacing w:val="0"/>
      <w:sz w:val="20"/>
      <w:vertAlign w:val="superscript"/>
    </w:rPr>
  </w:style>
  <w:style w:type="character" w:styleId="Contents2">
    <w:name w:val="Contents 2"/>
    <w:link w:val="Contents21"/>
    <w:qFormat/>
    <w:rPr/>
  </w:style>
  <w:style w:type="character" w:styleId="IntenseQuoteChar">
    <w:name w:val="Intense Quote Char"/>
    <w:link w:val="IntenseQuoteChar1"/>
    <w:qFormat/>
    <w:rPr>
      <w:rFonts w:ascii="Times New Roman" w:hAnsi="Times New Roman"/>
      <w:i/>
      <w:color w:val="000000"/>
      <w:spacing w:val="0"/>
      <w:sz w:val="20"/>
    </w:rPr>
  </w:style>
  <w:style w:type="character" w:styleId="Heading7Char">
    <w:name w:val="Heading 7 Char"/>
    <w:link w:val="Heading7Char1"/>
    <w:qFormat/>
    <w:rPr>
      <w:rFonts w:ascii="Arial" w:hAnsi="Arial"/>
      <w:b/>
      <w:i/>
      <w:color w:val="000000"/>
      <w:spacing w:val="0"/>
      <w:sz w:val="22"/>
    </w:rPr>
  </w:style>
  <w:style w:type="character" w:styleId="Contents4">
    <w:name w:val="Contents 4"/>
    <w:link w:val="Contents41"/>
    <w:qFormat/>
    <w:rPr/>
  </w:style>
  <w:style w:type="character" w:styleId="Heading7">
    <w:name w:val="Heading 7"/>
    <w:qFormat/>
    <w:rPr>
      <w:rFonts w:ascii="Arial" w:hAnsi="Arial"/>
      <w:b/>
      <w:i/>
      <w:sz w:val="22"/>
    </w:rPr>
  </w:style>
  <w:style w:type="character" w:styleId="Strong">
    <w:name w:val="Strong"/>
    <w:link w:val="Strong1"/>
    <w:qFormat/>
    <w:rPr>
      <w:rFonts w:ascii="Times New Roman" w:hAnsi="Times New Roman"/>
      <w:b/>
      <w:color w:val="000000"/>
      <w:spacing w:val="0"/>
      <w:sz w:val="20"/>
    </w:rPr>
  </w:style>
  <w:style w:type="character" w:styleId="Contents7">
    <w:name w:val="Contents 7"/>
    <w:link w:val="Contents71"/>
    <w:qFormat/>
    <w:rPr/>
  </w:style>
  <w:style w:type="character" w:styleId="Contents6">
    <w:name w:val="Contents 6"/>
    <w:link w:val="Contents61"/>
    <w:qFormat/>
    <w:rPr/>
  </w:style>
  <w:style w:type="character" w:styleId="Heading3">
    <w:name w:val="Heading 3"/>
    <w:qFormat/>
    <w:rPr>
      <w:rFonts w:ascii="Arial" w:hAnsi="Arial"/>
      <w:sz w:val="30"/>
    </w:rPr>
  </w:style>
  <w:style w:type="character" w:styleId="Style5">
    <w:name w:val="Верхний колонтитул Знак"/>
    <w:link w:val="Style37"/>
    <w:qFormat/>
    <w:rPr>
      <w:rFonts w:ascii="Times New Roman" w:hAnsi="Times New Roman"/>
      <w:color w:val="000000"/>
      <w:spacing w:val="0"/>
      <w:sz w:val="24"/>
    </w:rPr>
  </w:style>
  <w:style w:type="character" w:styleId="NoSpacing">
    <w:name w:val="No Spacing"/>
    <w:link w:val="NoSpacing1"/>
    <w:qFormat/>
    <w:rPr>
      <w:rFonts w:ascii="Times New Roman" w:hAnsi="Times New Roman"/>
      <w:color w:val="000000"/>
      <w:spacing w:val="0"/>
      <w:sz w:val="20"/>
    </w:rPr>
  </w:style>
  <w:style w:type="character" w:styleId="Endnote">
    <w:name w:val="Endnote"/>
    <w:link w:val="Endnote1"/>
    <w:qFormat/>
    <w:rPr>
      <w:sz w:val="20"/>
    </w:rPr>
  </w:style>
  <w:style w:type="character" w:styleId="Contents5">
    <w:name w:val="Contents 5"/>
    <w:link w:val="Contents51"/>
    <w:qFormat/>
    <w:rPr/>
  </w:style>
  <w:style w:type="character" w:styleId="Style6">
    <w:name w:val="Абзац списка"/>
    <w:link w:val="Style39"/>
    <w:qFormat/>
    <w:rPr/>
  </w:style>
  <w:style w:type="character" w:styleId="Footer">
    <w:name w:val="Footer"/>
    <w:qFormat/>
    <w:rPr/>
  </w:style>
  <w:style w:type="character" w:styleId="Style7">
    <w:name w:val="Колонтитул"/>
    <w:link w:val="Style40"/>
    <w:qFormat/>
    <w:rPr>
      <w:rFonts w:ascii="XO Thames" w:hAnsi="XO Thames"/>
      <w:color w:val="000000"/>
      <w:spacing w:val="0"/>
      <w:sz w:val="20"/>
    </w:rPr>
  </w:style>
  <w:style w:type="character" w:styleId="Heading5">
    <w:name w:val="Heading 5"/>
    <w:qFormat/>
    <w:rPr>
      <w:rFonts w:ascii="Arial" w:hAnsi="Arial"/>
      <w:b/>
      <w:sz w:val="24"/>
    </w:rPr>
  </w:style>
  <w:style w:type="character" w:styleId="TitleChar">
    <w:name w:val="Title Char"/>
    <w:link w:val="TitleChar1"/>
    <w:qFormat/>
    <w:rPr>
      <w:rFonts w:ascii="Times New Roman" w:hAnsi="Times New Roman"/>
      <w:color w:val="000000"/>
      <w:spacing w:val="0"/>
      <w:sz w:val="48"/>
    </w:rPr>
  </w:style>
  <w:style w:type="character" w:styleId="Style8">
    <w:name w:val="Содержимое врезки"/>
    <w:link w:val="Style42"/>
    <w:qFormat/>
    <w:rPr/>
  </w:style>
  <w:style w:type="character" w:styleId="Contents1">
    <w:name w:val="Contents 1"/>
    <w:link w:val="Contents11"/>
    <w:qFormat/>
    <w:rPr/>
  </w:style>
  <w:style w:type="character" w:styleId="Style9">
    <w:name w:val="Текст выноски Знак"/>
    <w:link w:val="Style43"/>
    <w:qFormat/>
    <w:rPr>
      <w:rFonts w:ascii="Tahoma" w:hAnsi="Tahoma"/>
      <w:color w:val="000000"/>
      <w:spacing w:val="0"/>
      <w:sz w:val="16"/>
    </w:rPr>
  </w:style>
  <w:style w:type="character" w:styleId="Style10">
    <w:name w:val="Строгий"/>
    <w:link w:val="Style44"/>
    <w:qFormat/>
    <w:rPr>
      <w:rFonts w:ascii="Times New Roman" w:hAnsi="Times New Roman"/>
      <w:b/>
      <w:color w:val="000000"/>
      <w:spacing w:val="0"/>
      <w:sz w:val="20"/>
    </w:rPr>
  </w:style>
  <w:style w:type="character" w:styleId="Style11">
    <w:name w:val="Маркеры"/>
    <w:link w:val="Style45"/>
    <w:qFormat/>
    <w:rPr>
      <w:rFonts w:ascii="OpenSymbol" w:hAnsi="OpenSymbol"/>
      <w:color w:val="000000"/>
      <w:spacing w:val="0"/>
      <w:sz w:val="20"/>
    </w:rPr>
  </w:style>
  <w:style w:type="character" w:styleId="Header">
    <w:name w:val="Header"/>
    <w:qFormat/>
    <w:rPr/>
  </w:style>
  <w:style w:type="character" w:styleId="Heading9">
    <w:name w:val="Heading 9"/>
    <w:qFormat/>
    <w:rPr>
      <w:rFonts w:ascii="Arial" w:hAnsi="Arial"/>
      <w:i/>
      <w:sz w:val="21"/>
    </w:rPr>
  </w:style>
  <w:style w:type="character" w:styleId="Style12">
    <w:name w:val="Блочная цитата"/>
    <w:link w:val="Style47"/>
    <w:qFormat/>
    <w:rPr/>
  </w:style>
  <w:style w:type="character" w:styleId="List">
    <w:name w:val="List"/>
    <w:basedOn w:val="Textbody"/>
    <w:qFormat/>
    <w:rPr/>
  </w:style>
  <w:style w:type="character" w:styleId="Textbody">
    <w:name w:val="Text body"/>
    <w:link w:val="Textbody1"/>
    <w:qFormat/>
    <w:rPr/>
  </w:style>
  <w:style w:type="character" w:styleId="Style13">
    <w:name w:val="Нижний колонтитул Знак"/>
    <w:link w:val="Style48"/>
    <w:qFormat/>
    <w:rPr>
      <w:rFonts w:ascii="Times New Roman" w:hAnsi="Times New Roman"/>
      <w:color w:val="000000"/>
      <w:spacing w:val="0"/>
      <w:sz w:val="24"/>
    </w:rPr>
  </w:style>
  <w:style w:type="character" w:styleId="Heading1">
    <w:name w:val="Heading 1"/>
    <w:qFormat/>
    <w:rPr>
      <w:rFonts w:ascii="Arial" w:hAnsi="Arial"/>
      <w:b/>
      <w:sz w:val="32"/>
    </w:rPr>
  </w:style>
  <w:style w:type="character" w:styleId="Heading6Char">
    <w:name w:val="Heading 6 Char"/>
    <w:link w:val="Heading6Char1"/>
    <w:qFormat/>
    <w:rPr>
      <w:rFonts w:ascii="Arial" w:hAnsi="Arial"/>
      <w:b/>
      <w:color w:val="000000"/>
      <w:spacing w:val="0"/>
      <w:sz w:val="22"/>
    </w:rPr>
  </w:style>
  <w:style w:type="character" w:styleId="Heading1Char">
    <w:name w:val="Heading 1 Char"/>
    <w:link w:val="Heading1Char1"/>
    <w:qFormat/>
    <w:rPr>
      <w:rFonts w:ascii="Arial" w:hAnsi="Arial"/>
      <w:color w:val="000000"/>
      <w:spacing w:val="0"/>
      <w:sz w:val="40"/>
    </w:rPr>
  </w:style>
  <w:style w:type="character" w:styleId="IndexHeading">
    <w:name w:val="Index Heading"/>
    <w:basedOn w:val="Style19"/>
    <w:qFormat/>
    <w:rPr/>
  </w:style>
  <w:style w:type="character" w:styleId="ContentsHeading">
    <w:name w:val="Contents Heading"/>
    <w:link w:val="ContentsHeading1"/>
    <w:qFormat/>
    <w:rPr>
      <w:rFonts w:ascii="Times New Roman" w:hAnsi="Times New Roman"/>
      <w:color w:val="000000"/>
      <w:spacing w:val="0"/>
      <w:sz w:val="20"/>
    </w:rPr>
  </w:style>
  <w:style w:type="character" w:styleId="Style14">
    <w:name w:val="Текст примечания Знак"/>
    <w:basedOn w:val="Style25"/>
    <w:link w:val="Style50"/>
    <w:qFormat/>
    <w:rPr/>
  </w:style>
  <w:style w:type="character" w:styleId="FooterChar">
    <w:name w:val="Footer Char"/>
    <w:link w:val="FooterChar1"/>
    <w:qFormat/>
    <w:rPr>
      <w:rFonts w:ascii="Times New Roman" w:hAnsi="Times New Roman"/>
      <w:color w:val="000000"/>
      <w:spacing w:val="0"/>
      <w:sz w:val="20"/>
    </w:rPr>
  </w:style>
  <w:style w:type="character" w:styleId="Style15">
    <w:name w:val="Символ сноски"/>
    <w:link w:val="Style51"/>
    <w:qFormat/>
    <w:rPr>
      <w:vertAlign w:val="superscript"/>
    </w:rPr>
  </w:style>
  <w:style w:type="character" w:styleId="Style16">
    <w:name w:val="Текст примечания"/>
    <w:link w:val="Style52"/>
    <w:qFormat/>
    <w:rPr>
      <w:sz w:val="20"/>
    </w:rPr>
  </w:style>
  <w:style w:type="character" w:styleId="Contents3">
    <w:name w:val="Contents 3"/>
    <w:link w:val="Contents31"/>
    <w:qFormat/>
    <w:rPr/>
  </w:style>
  <w:style w:type="character" w:styleId="Subtitle">
    <w:name w:val="Subtitle"/>
    <w:qFormat/>
    <w:rPr>
      <w:sz w:val="24"/>
    </w:rPr>
  </w:style>
  <w:style w:type="character" w:styleId="SubtitleChar">
    <w:name w:val="Subtitle Char"/>
    <w:link w:val="SubtitleChar1"/>
    <w:qFormat/>
    <w:rPr>
      <w:rFonts w:ascii="Times New Roman" w:hAnsi="Times New Roman"/>
      <w:color w:val="000000"/>
      <w:spacing w:val="0"/>
      <w:sz w:val="24"/>
    </w:rPr>
  </w:style>
  <w:style w:type="character" w:styleId="IntenseQuote">
    <w:name w:val="Intense Quote"/>
    <w:link w:val="IntenseQuote1"/>
    <w:qFormat/>
    <w:rPr>
      <w:i/>
    </w:rPr>
  </w:style>
  <w:style w:type="character" w:styleId="Heading2Char">
    <w:name w:val="Heading 2 Char"/>
    <w:link w:val="Heading2Char1"/>
    <w:qFormat/>
    <w:rPr>
      <w:rFonts w:ascii="Arial" w:hAnsi="Arial"/>
      <w:color w:val="000000"/>
      <w:spacing w:val="0"/>
      <w:sz w:val="34"/>
    </w:rPr>
  </w:style>
  <w:style w:type="character" w:styleId="Style17">
    <w:name w:val="Гиперссылка"/>
    <w:link w:val="Style54"/>
    <w:qFormat/>
    <w:rPr>
      <w:rFonts w:ascii="Times New Roman" w:hAnsi="Times New Roman"/>
      <w:color w:val="0000FF"/>
      <w:spacing w:val="0"/>
      <w:sz w:val="20"/>
      <w:u w:val="single"/>
    </w:rPr>
  </w:style>
  <w:style w:type="character" w:styleId="Style18">
    <w:name w:val="Обычный (веб)"/>
    <w:link w:val="Style55"/>
    <w:qFormat/>
    <w:rPr>
      <w:sz w:val="21"/>
    </w:rPr>
  </w:style>
  <w:style w:type="character" w:styleId="Style19">
    <w:name w:val="Заголовок"/>
    <w:link w:val="Style32"/>
    <w:qFormat/>
    <w:rPr>
      <w:rFonts w:ascii="Open Sans" w:hAnsi="Open Sans"/>
      <w:sz w:val="28"/>
    </w:rPr>
  </w:style>
  <w:style w:type="character" w:styleId="Heading4Char">
    <w:name w:val="Heading 4 Char"/>
    <w:link w:val="Heading4Char1"/>
    <w:qFormat/>
    <w:rPr>
      <w:rFonts w:ascii="Arial" w:hAnsi="Arial"/>
      <w:b/>
      <w:color w:val="000000"/>
      <w:spacing w:val="0"/>
      <w:sz w:val="26"/>
    </w:rPr>
  </w:style>
  <w:style w:type="character" w:styleId="HeaderChar">
    <w:name w:val="Header Char"/>
    <w:link w:val="HeaderChar1"/>
    <w:qFormat/>
    <w:rPr>
      <w:rFonts w:ascii="Times New Roman" w:hAnsi="Times New Roman"/>
      <w:color w:val="000000"/>
      <w:spacing w:val="0"/>
      <w:sz w:val="20"/>
    </w:rPr>
  </w:style>
  <w:style w:type="character" w:styleId="Heading2">
    <w:name w:val="Heading 2"/>
    <w:qFormat/>
    <w:rPr>
      <w:rFonts w:ascii="Arial" w:hAnsi="Arial"/>
      <w:sz w:val="34"/>
    </w:rPr>
  </w:style>
  <w:style w:type="character" w:styleId="Iauiue">
    <w:name w:val="iauiue"/>
    <w:link w:val="Iauiue1"/>
    <w:qFormat/>
    <w:rPr/>
  </w:style>
  <w:style w:type="character" w:styleId="Style20">
    <w:name w:val="Текст выноски"/>
    <w:link w:val="Style56"/>
    <w:qFormat/>
    <w:rPr>
      <w:rFonts w:ascii="Tahoma" w:hAnsi="Tahoma"/>
      <w:sz w:val="16"/>
    </w:rPr>
  </w:style>
  <w:style w:type="character" w:styleId="Style21">
    <w:name w:val="Hyperlink"/>
    <w:rPr>
      <w:color w:val="0000FF" w:themeColor="hyperlink"/>
      <w:u w:val="single"/>
    </w:rPr>
  </w:style>
  <w:style w:type="character" w:styleId="Footnote">
    <w:name w:val="Footnote"/>
    <w:link w:val="Footnote1"/>
    <w:qFormat/>
    <w:rPr>
      <w:sz w:val="18"/>
    </w:rPr>
  </w:style>
  <w:style w:type="character" w:styleId="Heading8">
    <w:name w:val="Heading 8"/>
    <w:qFormat/>
    <w:rPr>
      <w:rFonts w:ascii="Arial" w:hAnsi="Arial"/>
      <w:i/>
      <w:sz w:val="22"/>
    </w:rPr>
  </w:style>
  <w:style w:type="character" w:styleId="Style22">
    <w:name w:val="Тема примечания Знак"/>
    <w:link w:val="Style57"/>
    <w:qFormat/>
    <w:rPr>
      <w:rFonts w:ascii="Times New Roman" w:hAnsi="Times New Roman"/>
      <w:b/>
      <w:color w:val="000000"/>
      <w:spacing w:val="0"/>
      <w:sz w:val="20"/>
    </w:rPr>
  </w:style>
  <w:style w:type="character" w:styleId="Style23">
    <w:name w:val="Просмотренная гиперссылка"/>
    <w:link w:val="Style58"/>
    <w:qFormat/>
    <w:rPr>
      <w:rFonts w:ascii="Times New Roman" w:hAnsi="Times New Roman"/>
      <w:color w:val="800080"/>
      <w:spacing w:val="0"/>
      <w:sz w:val="20"/>
      <w:u w:val="single"/>
    </w:rPr>
  </w:style>
  <w:style w:type="character" w:styleId="Heading8Char">
    <w:name w:val="Heading 8 Char"/>
    <w:link w:val="Heading8Char1"/>
    <w:qFormat/>
    <w:rPr>
      <w:rFonts w:ascii="Arial" w:hAnsi="Arial"/>
      <w:i/>
      <w:color w:val="000000"/>
      <w:spacing w:val="0"/>
      <w:sz w:val="22"/>
    </w:rPr>
  </w:style>
  <w:style w:type="character" w:styleId="Style24">
    <w:name w:val="Символ концевой сноски"/>
    <w:link w:val="Style59"/>
    <w:qFormat/>
    <w:rPr>
      <w:vertAlign w:val="superscript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Contents9">
    <w:name w:val="Contents 9"/>
    <w:link w:val="Contents91"/>
    <w:qFormat/>
    <w:rPr/>
  </w:style>
  <w:style w:type="character" w:styleId="Searchmark1">
    <w:name w:val="searchmark1"/>
    <w:link w:val="Searchmark11"/>
    <w:qFormat/>
    <w:rPr>
      <w:rFonts w:ascii="Times New Roman" w:hAnsi="Times New Roman"/>
      <w:b/>
      <w:color w:val="B60101"/>
      <w:spacing w:val="0"/>
      <w:sz w:val="21"/>
      <w:shd w:fill="F4FC23" w:val="clear"/>
    </w:rPr>
  </w:style>
  <w:style w:type="character" w:styleId="Style25">
    <w:name w:val="Основной шрифт абзаца"/>
    <w:link w:val="Style60"/>
    <w:qFormat/>
    <w:rPr>
      <w:rFonts w:ascii="Times New Roman" w:hAnsi="Times New Roman"/>
      <w:color w:val="000000"/>
      <w:spacing w:val="0"/>
      <w:sz w:val="20"/>
    </w:rPr>
  </w:style>
  <w:style w:type="character" w:styleId="Style26">
    <w:name w:val="Указатель"/>
    <w:link w:val="Style36"/>
    <w:qFormat/>
    <w:rPr/>
  </w:style>
  <w:style w:type="character" w:styleId="Title">
    <w:name w:val="Title"/>
    <w:qFormat/>
    <w:rPr>
      <w:sz w:val="48"/>
    </w:rPr>
  </w:style>
  <w:style w:type="character" w:styleId="ListParagraph">
    <w:name w:val="List Paragraph"/>
    <w:link w:val="ListParagraph1"/>
    <w:qFormat/>
    <w:rPr/>
  </w:style>
  <w:style w:type="character" w:styleId="Heading9Char">
    <w:name w:val="Heading 9 Char"/>
    <w:link w:val="Heading9Char1"/>
    <w:qFormat/>
    <w:rPr>
      <w:rFonts w:ascii="Arial" w:hAnsi="Arial"/>
      <w:i/>
      <w:color w:val="000000"/>
      <w:spacing w:val="0"/>
      <w:sz w:val="21"/>
    </w:rPr>
  </w:style>
  <w:style w:type="character" w:styleId="Heading4">
    <w:name w:val="Heading 4"/>
    <w:qFormat/>
    <w:rPr>
      <w:rFonts w:ascii="Arial" w:hAnsi="Arial"/>
      <w:b/>
      <w:sz w:val="26"/>
    </w:rPr>
  </w:style>
  <w:style w:type="character" w:styleId="Contents8">
    <w:name w:val="Contents 8"/>
    <w:link w:val="Contents81"/>
    <w:qFormat/>
    <w:rPr/>
  </w:style>
  <w:style w:type="character" w:styleId="DefaultParagraphFont">
    <w:name w:val="Default Paragraph Font"/>
    <w:link w:val="DefaultParagraphFont1"/>
    <w:qFormat/>
    <w:rPr>
      <w:rFonts w:ascii="Times New Roman" w:hAnsi="Times New Roman"/>
      <w:color w:val="000000"/>
      <w:spacing w:val="0"/>
      <w:sz w:val="20"/>
    </w:rPr>
  </w:style>
  <w:style w:type="character" w:styleId="Heading5Char">
    <w:name w:val="Heading 5 Char"/>
    <w:link w:val="Heading5Char1"/>
    <w:qFormat/>
    <w:rPr>
      <w:rFonts w:ascii="Arial" w:hAnsi="Arial"/>
      <w:b/>
      <w:color w:val="000000"/>
      <w:spacing w:val="0"/>
      <w:sz w:val="24"/>
    </w:rPr>
  </w:style>
  <w:style w:type="character" w:styleId="Heading6">
    <w:name w:val="Heading 6"/>
    <w:qFormat/>
    <w:rPr>
      <w:rFonts w:ascii="Arial" w:hAnsi="Arial"/>
      <w:b/>
      <w:sz w:val="22"/>
    </w:rPr>
  </w:style>
  <w:style w:type="character" w:styleId="CaptionChar">
    <w:name w:val="Caption Char"/>
    <w:link w:val="CaptionChar1"/>
    <w:qFormat/>
    <w:rPr>
      <w:rFonts w:ascii="Times New Roman" w:hAnsi="Times New Roman"/>
      <w:color w:val="000000"/>
      <w:spacing w:val="0"/>
      <w:sz w:val="20"/>
    </w:rPr>
  </w:style>
  <w:style w:type="character" w:styleId="Caption">
    <w:name w:val="Caption"/>
    <w:qFormat/>
    <w:rPr>
      <w:b/>
      <w:color w:val="4F81BD" w:themeColor="accent1"/>
      <w:sz w:val="18"/>
    </w:rPr>
  </w:style>
  <w:style w:type="character" w:styleId="FootnoteTextChar">
    <w:name w:val="Footnote Text Char"/>
    <w:link w:val="FootnoteTextChar1"/>
    <w:qFormat/>
    <w:rPr>
      <w:rFonts w:ascii="Times New Roman" w:hAnsi="Times New Roman"/>
      <w:color w:val="000000"/>
      <w:spacing w:val="0"/>
      <w:sz w:val="18"/>
    </w:rPr>
  </w:style>
  <w:style w:type="character" w:styleId="Style27">
    <w:name w:val="Тема примечания"/>
    <w:basedOn w:val="Style16"/>
    <w:link w:val="Style62"/>
    <w:qFormat/>
    <w:rPr>
      <w:b/>
    </w:rPr>
  </w:style>
  <w:style w:type="character" w:styleId="Style28">
    <w:name w:val="Знак примечания"/>
    <w:link w:val="Style63"/>
    <w:qFormat/>
    <w:rPr>
      <w:rFonts w:ascii="Times New Roman" w:hAnsi="Times New Roman"/>
      <w:color w:val="000000"/>
      <w:spacing w:val="0"/>
      <w:sz w:val="16"/>
    </w:rPr>
  </w:style>
  <w:style w:type="character" w:styleId="Heading3Char">
    <w:name w:val="Heading 3 Char"/>
    <w:link w:val="Heading3Char1"/>
    <w:qFormat/>
    <w:rPr>
      <w:rFonts w:ascii="Arial" w:hAnsi="Arial"/>
      <w:color w:val="000000"/>
      <w:spacing w:val="0"/>
      <w:sz w:val="30"/>
    </w:rPr>
  </w:style>
  <w:style w:type="character" w:styleId="Style29">
    <w:name w:val="Endnote Reference"/>
    <w:rPr>
      <w:vertAlign w:val="superscript"/>
    </w:rPr>
  </w:style>
  <w:style w:type="character" w:styleId="EndnoteTextChar">
    <w:name w:val="Endnote Text Char"/>
    <w:link w:val="EndnoteTextChar1"/>
    <w:qFormat/>
    <w:rPr>
      <w:rFonts w:ascii="Times New Roman" w:hAnsi="Times New Roman"/>
      <w:color w:val="000000"/>
      <w:spacing w:val="0"/>
      <w:sz w:val="20"/>
    </w:rPr>
  </w:style>
  <w:style w:type="character" w:styleId="Tableoffigures">
    <w:name w:val="table of figures"/>
    <w:link w:val="Tableoffigures1"/>
    <w:qFormat/>
    <w:rPr/>
  </w:style>
  <w:style w:type="character" w:styleId="Style30">
    <w:name w:val="Без интервала"/>
    <w:link w:val="Style65"/>
    <w:qFormat/>
    <w:rPr>
      <w:rFonts w:ascii="Times New Roman" w:hAnsi="Times New Roman"/>
      <w:color w:val="000000"/>
      <w:spacing w:val="0"/>
      <w:sz w:val="24"/>
    </w:rPr>
  </w:style>
  <w:style w:type="character" w:styleId="QuoteChar">
    <w:name w:val="Quote Char"/>
    <w:link w:val="QuoteChar1"/>
    <w:qFormat/>
    <w:rPr>
      <w:rFonts w:ascii="Times New Roman" w:hAnsi="Times New Roman"/>
      <w:i/>
      <w:color w:val="000000"/>
      <w:spacing w:val="0"/>
      <w:sz w:val="20"/>
    </w:rPr>
  </w:style>
  <w:style w:type="character" w:styleId="Quote">
    <w:name w:val="Quote"/>
    <w:link w:val="Quote1"/>
    <w:qFormat/>
    <w:rPr>
      <w:i/>
    </w:rPr>
  </w:style>
  <w:style w:type="character" w:styleId="Style31">
    <w:name w:val="Footnote Reference"/>
    <w:rPr>
      <w:vertAlign w:val="superscript"/>
    </w:rPr>
  </w:style>
  <w:style w:type="character" w:styleId="FootnoteSymbol">
    <w:name w:val="Footnote Symbol"/>
    <w:link w:val="FootnoteSymbol1"/>
    <w:qFormat/>
    <w:rPr>
      <w:rFonts w:ascii="Times New Roman" w:hAnsi="Times New Roman"/>
      <w:color w:val="000000"/>
      <w:spacing w:val="0"/>
      <w:sz w:val="20"/>
      <w:vertAlign w:val="superscript"/>
    </w:rPr>
  </w:style>
  <w:style w:type="character" w:styleId="Internetlink">
    <w:name w:val="Internet link"/>
    <w:link w:val="Internetlink1"/>
    <w:qFormat/>
    <w:rPr>
      <w:rFonts w:ascii="Times New Roman" w:hAnsi="Times New Roman"/>
      <w:color w:val="0000FF" w:themeColor="hyperlink"/>
      <w:spacing w:val="0"/>
      <w:sz w:val="20"/>
      <w:u w:val="single"/>
    </w:rPr>
  </w:style>
  <w:style w:type="paragraph" w:styleId="Style32">
    <w:name w:val="Заголовок"/>
    <w:basedOn w:val="Normal"/>
    <w:next w:val="Style33"/>
    <w:link w:val="Style19"/>
    <w:qFormat/>
    <w:pPr>
      <w:keepNext w:val="true"/>
      <w:spacing w:before="240" w:after="120"/>
    </w:pPr>
    <w:rPr>
      <w:rFonts w:ascii="Open Sans" w:hAnsi="Open Sans"/>
      <w:sz w:val="28"/>
    </w:rPr>
  </w:style>
  <w:style w:type="paragraph" w:styleId="Style33">
    <w:name w:val="Body Text"/>
    <w:basedOn w:val="Normal"/>
    <w:pPr>
      <w:spacing w:lineRule="auto" w:line="276" w:before="0" w:after="140"/>
    </w:pPr>
    <w:rPr/>
  </w:style>
  <w:style w:type="paragraph" w:styleId="Style34">
    <w:name w:val="List"/>
    <w:basedOn w:val="Textbody1"/>
    <w:pPr/>
    <w:rPr/>
  </w:style>
  <w:style w:type="paragraph" w:styleId="Style35">
    <w:name w:val="Caption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4F81BD" w:themeColor="accent1"/>
      <w:spacing w:val="0"/>
      <w:kern w:val="0"/>
      <w:sz w:val="18"/>
      <w:szCs w:val="20"/>
      <w:lang w:val="ru-RU" w:eastAsia="zh-CN" w:bidi="hi-IN"/>
    </w:rPr>
  </w:style>
  <w:style w:type="paragraph" w:styleId="Style36">
    <w:name w:val="Указатель"/>
    <w:basedOn w:val="Normal"/>
    <w:link w:val="Style26"/>
    <w:qFormat/>
    <w:pPr/>
    <w:rPr/>
  </w:style>
  <w:style w:type="paragraph" w:styleId="EndnoteSymbol1">
    <w:name w:val="Endnote Symbol"/>
    <w:link w:val="EndnoteSymbol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21">
    <w:name w:val="TOC 2"/>
    <w:basedOn w:val="Normal"/>
    <w:uiPriority w:val="39"/>
    <w:pPr>
      <w:spacing w:before="0" w:after="57"/>
      <w:ind w:left="283" w:right="0" w:hanging="0"/>
    </w:pPr>
    <w:rPr/>
  </w:style>
  <w:style w:type="paragraph" w:styleId="IntenseQuoteChar1">
    <w:name w:val="Intense Quote Char"/>
    <w:link w:val="IntenseQuote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i/>
      <w:color w:val="000000"/>
      <w:spacing w:val="0"/>
      <w:kern w:val="0"/>
      <w:sz w:val="20"/>
      <w:szCs w:val="20"/>
      <w:lang w:val="ru-RU" w:eastAsia="zh-CN" w:bidi="hi-IN"/>
    </w:rPr>
  </w:style>
  <w:style w:type="paragraph" w:styleId="Heading7Char1">
    <w:name w:val="Heading 7 Char"/>
    <w:link w:val="Heading7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b/>
      <w:i/>
      <w:color w:val="000000"/>
      <w:spacing w:val="0"/>
      <w:kern w:val="0"/>
      <w:sz w:val="22"/>
      <w:szCs w:val="20"/>
      <w:lang w:val="ru-RU" w:eastAsia="zh-CN" w:bidi="hi-IN"/>
    </w:rPr>
  </w:style>
  <w:style w:type="paragraph" w:styleId="41">
    <w:name w:val="TOC 4"/>
    <w:basedOn w:val="Normal"/>
    <w:uiPriority w:val="39"/>
    <w:pPr>
      <w:spacing w:before="0" w:after="57"/>
      <w:ind w:left="850" w:right="0" w:hanging="0"/>
    </w:pPr>
    <w:rPr/>
  </w:style>
  <w:style w:type="paragraph" w:styleId="Strong1">
    <w:name w:val="Strong"/>
    <w:link w:val="Strong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71">
    <w:name w:val="Contents 7"/>
    <w:link w:val="Contents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61">
    <w:name w:val="TOC 6"/>
    <w:basedOn w:val="Normal"/>
    <w:uiPriority w:val="39"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pPr>
      <w:spacing w:before="0" w:after="57"/>
      <w:ind w:left="1701" w:right="0" w:hanging="0"/>
    </w:pPr>
    <w:rPr/>
  </w:style>
  <w:style w:type="paragraph" w:styleId="Style37">
    <w:name w:val="Верхний колонтитул Знак"/>
    <w:link w:val="Style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NoSpacing1">
    <w:name w:val="No Spacing"/>
    <w:link w:val="NoSpacing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8">
    <w:name w:val="Endnote Text"/>
    <w:basedOn w:val="Normal"/>
    <w:pPr>
      <w:spacing w:lineRule="auto" w:line="240" w:before="0" w:after="0"/>
    </w:pPr>
    <w:rPr>
      <w:sz w:val="20"/>
    </w:rPr>
  </w:style>
  <w:style w:type="paragraph" w:styleId="Contents51">
    <w:name w:val="Contents 5"/>
    <w:link w:val="Contents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9">
    <w:name w:val="Абзац списка"/>
    <w:basedOn w:val="Normal"/>
    <w:link w:val="Style6"/>
    <w:qFormat/>
    <w:pPr>
      <w:spacing w:before="0" w:after="0"/>
      <w:ind w:left="720" w:right="0" w:hanging="0"/>
      <w:contextualSpacing/>
    </w:pPr>
    <w:rPr/>
  </w:style>
  <w:style w:type="paragraph" w:styleId="Style40">
    <w:name w:val="Колонтитул"/>
    <w:link w:val="Style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1">
    <w:name w:val="Footer"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TitleChar1">
    <w:name w:val="Title Char"/>
    <w:link w:val="Title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48"/>
      <w:szCs w:val="20"/>
      <w:lang w:val="ru-RU" w:eastAsia="zh-CN" w:bidi="hi-IN"/>
    </w:rPr>
  </w:style>
  <w:style w:type="paragraph" w:styleId="Style42">
    <w:name w:val="Содержимое врезки"/>
    <w:basedOn w:val="Normal"/>
    <w:link w:val="Style8"/>
    <w:qFormat/>
    <w:pPr/>
    <w:rPr/>
  </w:style>
  <w:style w:type="paragraph" w:styleId="Contents11">
    <w:name w:val="Contents 1"/>
    <w:link w:val="Contents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21">
    <w:name w:val="Contents 2"/>
    <w:link w:val="Contents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3">
    <w:name w:val="Текст выноски Знак"/>
    <w:link w:val="Style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ahoma" w:hAnsi="Tahoma" w:eastAsia="Tahoma" w:cs="Lohit Devanagari"/>
      <w:color w:val="000000"/>
      <w:spacing w:val="0"/>
      <w:kern w:val="0"/>
      <w:sz w:val="16"/>
      <w:szCs w:val="20"/>
      <w:lang w:val="ru-RU" w:eastAsia="zh-CN" w:bidi="hi-IN"/>
    </w:rPr>
  </w:style>
  <w:style w:type="paragraph" w:styleId="Style44">
    <w:name w:val="Строгий"/>
    <w:link w:val="Style1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Style45">
    <w:name w:val="Маркеры"/>
    <w:link w:val="Style1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OpenSymbol" w:hAnsi="Open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6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47">
    <w:name w:val="Блочная цитата"/>
    <w:basedOn w:val="Normal"/>
    <w:link w:val="Style12"/>
    <w:qFormat/>
    <w:pPr>
      <w:spacing w:before="0" w:after="283"/>
      <w:ind w:left="567" w:right="567" w:hanging="0"/>
    </w:pPr>
    <w:rPr/>
  </w:style>
  <w:style w:type="paragraph" w:styleId="Textbody1">
    <w:name w:val="Text body"/>
    <w:link w:val="Textbody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8">
    <w:name w:val="Нижний колонтитул Знак"/>
    <w:link w:val="Style1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Heading6Char1">
    <w:name w:val="Heading 6 Char"/>
    <w:link w:val="Heading6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paragraph" w:styleId="Heading1Char1">
    <w:name w:val="Heading 1 Char"/>
    <w:link w:val="Heading1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color w:val="000000"/>
      <w:spacing w:val="0"/>
      <w:kern w:val="0"/>
      <w:sz w:val="40"/>
      <w:szCs w:val="20"/>
      <w:lang w:val="ru-RU" w:eastAsia="zh-CN" w:bidi="hi-IN"/>
    </w:rPr>
  </w:style>
  <w:style w:type="paragraph" w:styleId="Style49">
    <w:name w:val="Index Heading"/>
    <w:basedOn w:val="Style32"/>
    <w:pPr/>
    <w:rPr/>
  </w:style>
  <w:style w:type="paragraph" w:styleId="ContentsHeading1">
    <w:name w:val="Contents Heading"/>
    <w:link w:val="ContentsHeading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0">
    <w:name w:val="Текст примечания Знак"/>
    <w:basedOn w:val="Style60"/>
    <w:link w:val="Style14"/>
    <w:qFormat/>
    <w:pPr/>
    <w:rPr/>
  </w:style>
  <w:style w:type="paragraph" w:styleId="FooterChar1">
    <w:name w:val="Footer Char"/>
    <w:link w:val="Footer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1">
    <w:name w:val="Символ сноски"/>
    <w:link w:val="Style1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Contents41">
    <w:name w:val="Contents 4"/>
    <w:link w:val="Contents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2">
    <w:name w:val="Текст примечания"/>
    <w:basedOn w:val="Normal"/>
    <w:link w:val="Style16"/>
    <w:qFormat/>
    <w:pPr/>
    <w:rPr>
      <w:sz w:val="20"/>
    </w:rPr>
  </w:style>
  <w:style w:type="paragraph" w:styleId="31">
    <w:name w:val="TOC 3"/>
    <w:basedOn w:val="Normal"/>
    <w:uiPriority w:val="39"/>
    <w:pPr>
      <w:spacing w:before="0" w:after="57"/>
      <w:ind w:left="567" w:right="0" w:hanging="0"/>
    </w:pPr>
    <w:rPr/>
  </w:style>
  <w:style w:type="paragraph" w:styleId="Style53">
    <w:name w:val="Subtitle"/>
    <w:basedOn w:val="Normal"/>
    <w:uiPriority w:val="11"/>
    <w:qFormat/>
    <w:pPr>
      <w:spacing w:before="200" w:after="200"/>
    </w:pPr>
    <w:rPr>
      <w:sz w:val="24"/>
    </w:rPr>
  </w:style>
  <w:style w:type="paragraph" w:styleId="SubtitleChar1">
    <w:name w:val="Subtitle Char"/>
    <w:link w:val="Subtitle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IntenseQuote1">
    <w:name w:val="Intense Quote"/>
    <w:basedOn w:val="Normal"/>
    <w:link w:val="IntenseQuote"/>
    <w:qFormat/>
    <w:pPr>
      <w:spacing w:before="0" w:after="0"/>
      <w:ind w:left="720" w:right="720" w:hanging="0"/>
    </w:pPr>
    <w:rPr>
      <w:i/>
    </w:rPr>
  </w:style>
  <w:style w:type="paragraph" w:styleId="Heading2Char1">
    <w:name w:val="Heading 2 Char"/>
    <w:link w:val="Heading2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color w:val="000000"/>
      <w:spacing w:val="0"/>
      <w:kern w:val="0"/>
      <w:sz w:val="34"/>
      <w:szCs w:val="20"/>
      <w:lang w:val="ru-RU" w:eastAsia="zh-CN" w:bidi="hi-IN"/>
    </w:rPr>
  </w:style>
  <w:style w:type="paragraph" w:styleId="Style54">
    <w:name w:val="Гиперссылка"/>
    <w:link w:val="Style1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Endnote1">
    <w:name w:val="Endnote"/>
    <w:link w:val="Endnote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5">
    <w:name w:val="Обычный (веб)"/>
    <w:basedOn w:val="Normal"/>
    <w:link w:val="Style18"/>
    <w:qFormat/>
    <w:pPr>
      <w:spacing w:before="150" w:afterAutospacing="1"/>
      <w:ind w:left="0" w:right="0" w:firstLine="150"/>
      <w:jc w:val="both"/>
    </w:pPr>
    <w:rPr>
      <w:sz w:val="21"/>
    </w:rPr>
  </w:style>
  <w:style w:type="paragraph" w:styleId="Heading4Char1">
    <w:name w:val="Heading 4 Char"/>
    <w:link w:val="Heading4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HeaderChar1">
    <w:name w:val="Header Char"/>
    <w:link w:val="Header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Iauiue1">
    <w:name w:val="iauiue"/>
    <w:basedOn w:val="Normal"/>
    <w:link w:val="Iauiue"/>
    <w:qFormat/>
    <w:pPr>
      <w:spacing w:beforeAutospacing="1" w:afterAutospacing="1"/>
    </w:pPr>
    <w:rPr/>
  </w:style>
  <w:style w:type="paragraph" w:styleId="Style56">
    <w:name w:val="Текст выноски"/>
    <w:basedOn w:val="Normal"/>
    <w:link w:val="Style20"/>
    <w:qFormat/>
    <w:pPr/>
    <w:rPr>
      <w:rFonts w:ascii="Tahoma" w:hAnsi="Tahoma"/>
      <w:sz w:val="16"/>
    </w:rPr>
  </w:style>
  <w:style w:type="paragraph" w:styleId="Internetlink1">
    <w:name w:val="Internet link"/>
    <w:link w:val="Internetlink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FF" w:themeColor="hyperlink"/>
      <w:spacing w:val="0"/>
      <w:kern w:val="0"/>
      <w:sz w:val="20"/>
      <w:szCs w:val="20"/>
      <w:u w:val="single"/>
      <w:lang w:val="ru-RU" w:eastAsia="zh-CN" w:bidi="hi-IN"/>
    </w:rPr>
  </w:style>
  <w:style w:type="paragraph" w:styleId="Footnote1">
    <w:name w:val="Footnote"/>
    <w:basedOn w:val="Normal"/>
    <w:link w:val="Footnote"/>
    <w:qFormat/>
    <w:pPr>
      <w:spacing w:lineRule="auto" w:line="240" w:before="0" w:after="40"/>
    </w:pPr>
    <w:rPr>
      <w:sz w:val="18"/>
    </w:rPr>
  </w:style>
  <w:style w:type="paragraph" w:styleId="11">
    <w:name w:val="TOC 1"/>
    <w:basedOn w:val="Normal"/>
    <w:uiPriority w:val="39"/>
    <w:pPr>
      <w:spacing w:before="0" w:after="57"/>
      <w:ind w:left="0" w:right="0" w:hanging="0"/>
    </w:pPr>
    <w:rPr/>
  </w:style>
  <w:style w:type="paragraph" w:styleId="Style57">
    <w:name w:val="Тема примечания Знак"/>
    <w:link w:val="Style2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Style58">
    <w:name w:val="Просмотренная гиперссылка"/>
    <w:link w:val="Style2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800080"/>
      <w:spacing w:val="0"/>
      <w:kern w:val="0"/>
      <w:sz w:val="20"/>
      <w:szCs w:val="20"/>
      <w:u w:val="single"/>
      <w:lang w:val="ru-RU" w:eastAsia="zh-CN" w:bidi="hi-IN"/>
    </w:rPr>
  </w:style>
  <w:style w:type="paragraph" w:styleId="Heading8Char1">
    <w:name w:val="Heading 8 Char"/>
    <w:link w:val="Heading8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i/>
      <w:color w:val="000000"/>
      <w:spacing w:val="0"/>
      <w:kern w:val="0"/>
      <w:sz w:val="22"/>
      <w:szCs w:val="20"/>
      <w:lang w:val="ru-RU" w:eastAsia="zh-CN" w:bidi="hi-IN"/>
    </w:rPr>
  </w:style>
  <w:style w:type="paragraph" w:styleId="Style59">
    <w:name w:val="Символ концевой сноски"/>
    <w:link w:val="Style2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91">
    <w:name w:val="TOC 9"/>
    <w:basedOn w:val="Normal"/>
    <w:uiPriority w:val="39"/>
    <w:pPr>
      <w:spacing w:before="0" w:after="57"/>
      <w:ind w:left="2268" w:right="0" w:hanging="0"/>
    </w:pPr>
    <w:rPr/>
  </w:style>
  <w:style w:type="paragraph" w:styleId="Searchmark11">
    <w:name w:val="searchmark1"/>
    <w:link w:val="Searchmark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B60101"/>
      <w:spacing w:val="0"/>
      <w:kern w:val="0"/>
      <w:sz w:val="21"/>
      <w:szCs w:val="20"/>
      <w:shd w:fill="F4FC23" w:val="clear"/>
      <w:lang w:val="ru-RU" w:eastAsia="zh-CN" w:bidi="hi-IN"/>
    </w:rPr>
  </w:style>
  <w:style w:type="paragraph" w:styleId="Style60">
    <w:name w:val="Основной шрифт абзаца"/>
    <w:link w:val="Style2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61">
    <w:name w:val="Title"/>
    <w:basedOn w:val="Normal"/>
    <w:uiPriority w:val="10"/>
    <w:qFormat/>
    <w:pPr>
      <w:spacing w:before="300" w:after="200"/>
      <w:contextualSpacing/>
    </w:pPr>
    <w:rPr>
      <w:sz w:val="48"/>
    </w:rPr>
  </w:style>
  <w:style w:type="paragraph" w:styleId="ListParagraph1">
    <w:name w:val="List Paragraph"/>
    <w:basedOn w:val="Normal"/>
    <w:link w:val="ListParagraph"/>
    <w:qFormat/>
    <w:pPr>
      <w:spacing w:before="0" w:after="0"/>
      <w:ind w:left="720" w:right="0" w:hanging="0"/>
      <w:contextualSpacing/>
    </w:pPr>
    <w:rPr/>
  </w:style>
  <w:style w:type="paragraph" w:styleId="Heading9Char1">
    <w:name w:val="Heading 9 Char"/>
    <w:link w:val="Heading9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i/>
      <w:color w:val="000000"/>
      <w:spacing w:val="0"/>
      <w:kern w:val="0"/>
      <w:sz w:val="21"/>
      <w:szCs w:val="20"/>
      <w:lang w:val="ru-RU" w:eastAsia="zh-CN" w:bidi="hi-IN"/>
    </w:rPr>
  </w:style>
  <w:style w:type="paragraph" w:styleId="Contents31">
    <w:name w:val="Contents 3"/>
    <w:link w:val="Contents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81">
    <w:name w:val="TOC 8"/>
    <w:basedOn w:val="Normal"/>
    <w:uiPriority w:val="39"/>
    <w:pPr>
      <w:spacing w:before="0" w:after="57"/>
      <w:ind w:left="1984" w:right="0" w:hanging="0"/>
    </w:pPr>
    <w:rPr/>
  </w:style>
  <w:style w:type="paragraph" w:styleId="Contents81">
    <w:name w:val="Contents 8"/>
    <w:link w:val="Contents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Heading5Char1">
    <w:name w:val="Heading 5 Char"/>
    <w:link w:val="Heading5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CaptionChar1">
    <w:name w:val="Caption Char"/>
    <w:link w:val="Caption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51">
    <w:name w:val="TOC 5"/>
    <w:basedOn w:val="Normal"/>
    <w:uiPriority w:val="39"/>
    <w:pPr>
      <w:spacing w:before="0" w:after="57"/>
      <w:ind w:left="1134" w:right="0" w:hanging="0"/>
    </w:pPr>
    <w:rPr/>
  </w:style>
  <w:style w:type="paragraph" w:styleId="Contents91">
    <w:name w:val="Contents 9"/>
    <w:link w:val="Contents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FootnoteTextChar1">
    <w:name w:val="Footnote Text Char"/>
    <w:link w:val="FootnoteText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18"/>
      <w:szCs w:val="20"/>
      <w:lang w:val="ru-RU" w:eastAsia="zh-CN" w:bidi="hi-IN"/>
    </w:rPr>
  </w:style>
  <w:style w:type="paragraph" w:styleId="Style62">
    <w:name w:val="Тема примечания"/>
    <w:basedOn w:val="Style52"/>
    <w:link w:val="Style27"/>
    <w:qFormat/>
    <w:pPr/>
    <w:rPr>
      <w:b/>
    </w:rPr>
  </w:style>
  <w:style w:type="paragraph" w:styleId="Style63">
    <w:name w:val="Знак примечания"/>
    <w:link w:val="Style2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16"/>
      <w:szCs w:val="20"/>
      <w:lang w:val="ru-RU" w:eastAsia="zh-CN" w:bidi="hi-IN"/>
    </w:rPr>
  </w:style>
  <w:style w:type="paragraph" w:styleId="Heading3Char1">
    <w:name w:val="Heading 3 Char"/>
    <w:link w:val="Heading3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ohit Devanagari"/>
      <w:color w:val="000000"/>
      <w:spacing w:val="0"/>
      <w:kern w:val="0"/>
      <w:sz w:val="30"/>
      <w:szCs w:val="20"/>
      <w:lang w:val="ru-RU" w:eastAsia="zh-CN" w:bidi="hi-IN"/>
    </w:rPr>
  </w:style>
  <w:style w:type="paragraph" w:styleId="Style64">
    <w:name w:val="TOC Heading"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EndnoteTextChar1">
    <w:name w:val="Endnote Text Char"/>
    <w:link w:val="EndnoteText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61">
    <w:name w:val="Contents 6"/>
    <w:link w:val="Contents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Tableoffigures1">
    <w:name w:val="table of figures"/>
    <w:basedOn w:val="Normal"/>
    <w:link w:val="Tableoffigures"/>
    <w:qFormat/>
    <w:pPr>
      <w:spacing w:before="0" w:after="0"/>
    </w:pPr>
    <w:rPr/>
  </w:style>
  <w:style w:type="paragraph" w:styleId="Style65">
    <w:name w:val="Без интервала"/>
    <w:link w:val="Style3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QuoteChar1">
    <w:name w:val="Quote Char"/>
    <w:link w:val="QuoteCha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i/>
      <w:color w:val="000000"/>
      <w:spacing w:val="0"/>
      <w:kern w:val="0"/>
      <w:sz w:val="20"/>
      <w:szCs w:val="20"/>
      <w:lang w:val="ru-RU" w:eastAsia="zh-CN" w:bidi="hi-IN"/>
    </w:rPr>
  </w:style>
  <w:style w:type="paragraph" w:styleId="Quote1">
    <w:name w:val="Quote"/>
    <w:basedOn w:val="Normal"/>
    <w:link w:val="Quote"/>
    <w:qFormat/>
    <w:pPr>
      <w:ind w:left="720" w:right="720" w:hanging="0"/>
    </w:pPr>
    <w:rPr>
      <w:i/>
    </w:rPr>
  </w:style>
  <w:style w:type="paragraph" w:styleId="FootnoteSymbol1">
    <w:name w:val="Footnote Symbol"/>
    <w:link w:val="FootnoteSymbol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2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hyperlink" Target="https://kamgov.ru/files/64f55ac61dac00.85925865.pdf" TargetMode="External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LibreOffice/7.4.4.2$Linux_X86_64 LibreOffice_project/40$Build-2</Application>
  <AppVersion>15.0000</AppVersion>
  <Pages>26</Pages>
  <Words>5387</Words>
  <Characters>38028</Characters>
  <CharactersWithSpaces>43285</CharactersWithSpaces>
  <Paragraphs>202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2023-09-18T12:50:26Z</dcterms:modified>
  <cp:revision>1</cp:revision>
  <dc:subject/>
  <dc:title/>
</cp:coreProperties>
</file>