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sz w:val="20"/>
        </w:rPr>
      </w:pPr>
    </w:p>
    <w:p w14:paraId="02000000">
      <w:pPr>
        <w:spacing w:after="0"/>
        <w:ind w:firstLine="0" w:left="69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 письму 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pacing w:val="-10"/>
          <w:sz w:val="28"/>
        </w:rPr>
      </w:pPr>
    </w:p>
    <w:p w14:paraId="04000000">
      <w:pPr>
        <w:spacing w:after="0"/>
        <w:ind/>
        <w:jc w:val="center"/>
        <w:rPr>
          <w:rFonts w:ascii="Times New Roman" w:hAnsi="Times New Roman"/>
          <w:b w:val="1"/>
          <w:spacing w:val="-10"/>
          <w:sz w:val="28"/>
        </w:rPr>
      </w:pPr>
      <w:r>
        <w:rPr>
          <w:rFonts w:ascii="Times New Roman" w:hAnsi="Times New Roman"/>
          <w:b w:val="1"/>
          <w:spacing w:val="-10"/>
          <w:sz w:val="28"/>
        </w:rPr>
        <w:t>Рейтинг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pacing w:val="-10"/>
          <w:sz w:val="28"/>
        </w:rPr>
      </w:pPr>
      <w:r>
        <w:rPr>
          <w:rFonts w:ascii="Times New Roman" w:hAnsi="Times New Roman"/>
          <w:b w:val="1"/>
          <w:spacing w:val="-10"/>
          <w:sz w:val="28"/>
        </w:rPr>
        <w:t>качества осуществления оценки регулирующего воздействия и экспертизы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pacing w:val="-10"/>
          <w:sz w:val="28"/>
        </w:rPr>
      </w:pPr>
      <w:r>
        <w:rPr>
          <w:rFonts w:ascii="Times New Roman" w:hAnsi="Times New Roman"/>
          <w:b w:val="1"/>
          <w:spacing w:val="-10"/>
          <w:sz w:val="28"/>
        </w:rPr>
        <w:t>в городских округах и муниципальных районах Камчатского края за 202</w:t>
      </w:r>
      <w:r>
        <w:rPr>
          <w:rFonts w:ascii="Times New Roman" w:hAnsi="Times New Roman"/>
          <w:b w:val="1"/>
          <w:spacing w:val="-10"/>
          <w:sz w:val="28"/>
        </w:rPr>
        <w:t>2</w:t>
      </w:r>
      <w:r>
        <w:rPr>
          <w:rFonts w:ascii="Times New Roman" w:hAnsi="Times New Roman"/>
          <w:b w:val="1"/>
          <w:spacing w:val="-10"/>
          <w:sz w:val="28"/>
        </w:rPr>
        <w:t xml:space="preserve"> год</w:t>
      </w:r>
    </w:p>
    <w:p w14:paraId="07000000">
      <w:pPr>
        <w:pStyle w:val="Style_1"/>
        <w:tabs>
          <w:tab w:leader="none" w:pos="284" w:val="left"/>
          <w:tab w:leader="none" w:pos="851" w:val="left"/>
        </w:tabs>
        <w:spacing w:after="0"/>
        <w:ind w:firstLine="709" w:left="0"/>
        <w:contextualSpacing w:val="0"/>
        <w:jc w:val="both"/>
        <w:rPr>
          <w:rFonts w:ascii="Times New Roman" w:hAnsi="Times New Roman"/>
          <w:spacing w:val="-10"/>
          <w:sz w:val="28"/>
        </w:rPr>
      </w:pPr>
    </w:p>
    <w:p w14:paraId="08000000">
      <w:pPr>
        <w:pStyle w:val="Style_1"/>
        <w:tabs>
          <w:tab w:leader="none" w:pos="284" w:val="left"/>
          <w:tab w:leader="none" w:pos="851" w:val="left"/>
        </w:tabs>
        <w:spacing w:after="0"/>
        <w:ind w:firstLine="709" w:left="0"/>
        <w:contextualSpacing w:val="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Рейтинг проводится в целях </w:t>
      </w:r>
      <w:r>
        <w:rPr>
          <w:rFonts w:ascii="Times New Roman" w:hAnsi="Times New Roman"/>
          <w:sz w:val="28"/>
        </w:rPr>
        <w:t>анализа текущего состояния и динамики развития оценки регулирующего муниципальных нормативных правовых актов (далее – ОРВ, НПА), выявления лучших практик внедрения процедуры ОРВ проектов муниципальных НПА и экспертизы муниципальн</w:t>
      </w:r>
      <w:r>
        <w:rPr>
          <w:rFonts w:ascii="Times New Roman" w:hAnsi="Times New Roman"/>
          <w:sz w:val="28"/>
        </w:rPr>
        <w:t xml:space="preserve">ых НПА в городских округах, </w:t>
      </w:r>
      <w:r>
        <w:rPr>
          <w:rFonts w:ascii="Times New Roman" w:hAnsi="Times New Roman"/>
          <w:sz w:val="28"/>
        </w:rPr>
        <w:t>муниципальных районах Камчатского края</w:t>
      </w:r>
      <w:r>
        <w:rPr>
          <w:rFonts w:ascii="Times New Roman" w:hAnsi="Times New Roman"/>
          <w:sz w:val="28"/>
        </w:rPr>
        <w:t xml:space="preserve"> и Алеутском муниципальном округе</w:t>
      </w:r>
      <w:r>
        <w:rPr>
          <w:rFonts w:ascii="Times New Roman" w:hAnsi="Times New Roman"/>
          <w:sz w:val="28"/>
        </w:rPr>
        <w:t>.</w:t>
      </w:r>
    </w:p>
    <w:p w14:paraId="09000000">
      <w:pPr>
        <w:pStyle w:val="Style_1"/>
        <w:tabs>
          <w:tab w:leader="none" w:pos="284" w:val="left"/>
          <w:tab w:leader="none" w:pos="851" w:val="left"/>
        </w:tabs>
        <w:spacing w:after="0"/>
        <w:ind w:firstLine="709" w:left="0"/>
        <w:contextualSpacing w:val="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z w:val="28"/>
        </w:rPr>
        <w:t xml:space="preserve">Рейтинг </w:t>
      </w:r>
      <w:r>
        <w:rPr>
          <w:rFonts w:ascii="Times New Roman" w:hAnsi="Times New Roman"/>
          <w:spacing w:val="-10"/>
          <w:sz w:val="28"/>
        </w:rPr>
        <w:t xml:space="preserve">качества осуществления оценки регулирующего воздействия и экспертизы в городских округах и муниципальных районах Камчатского края (далее – Рейтинг) подготовлен Министерством </w:t>
      </w:r>
      <w:r>
        <w:rPr>
          <w:rFonts w:ascii="Times New Roman" w:hAnsi="Times New Roman"/>
          <w:spacing w:val="-10"/>
          <w:sz w:val="28"/>
        </w:rPr>
        <w:t>экономического развития</w:t>
      </w:r>
      <w:r>
        <w:rPr>
          <w:rFonts w:ascii="Times New Roman" w:hAnsi="Times New Roman"/>
          <w:spacing w:val="-10"/>
          <w:sz w:val="28"/>
        </w:rPr>
        <w:t xml:space="preserve"> Камчатского края (далее – Министерством) в соответствии с Методикой формирования рейтинга качества осуществления оценки регулирующего воздействия и экспертизы в городских округах и муниципальных районах Камчатского края, утвержденной </w:t>
      </w:r>
      <w:r>
        <w:rPr>
          <w:rFonts w:ascii="Times New Roman" w:hAnsi="Times New Roman"/>
          <w:spacing w:val="-10"/>
          <w:sz w:val="28"/>
        </w:rPr>
        <w:t>п</w:t>
      </w:r>
      <w:r>
        <w:rPr>
          <w:rFonts w:ascii="Times New Roman" w:hAnsi="Times New Roman"/>
          <w:spacing w:val="-10"/>
          <w:sz w:val="28"/>
        </w:rPr>
        <w:t xml:space="preserve">риказом </w:t>
      </w:r>
      <w:r>
        <w:rPr>
          <w:rFonts w:ascii="Times New Roman" w:hAnsi="Times New Roman"/>
          <w:sz w:val="28"/>
        </w:rPr>
        <w:t xml:space="preserve">Агентства инвестиций и предпринимательства Камчатского края от 14.01.2019 № 3-П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Методика)</w:t>
      </w:r>
      <w:r>
        <w:rPr>
          <w:rFonts w:ascii="Times New Roman" w:hAnsi="Times New Roman"/>
          <w:spacing w:val="-10"/>
          <w:sz w:val="28"/>
        </w:rPr>
        <w:t xml:space="preserve">. </w:t>
      </w:r>
    </w:p>
    <w:p w14:paraId="0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06.10.20103 № 131-ФЗ «Об общих принципах организации местного самоуправления в Российской Федерации» (далее – Федеральный закон № 131-ФЗ) и Законом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 (далее – Закон Камчатского края № 503) институт ОРВ реализуется:</w:t>
      </w:r>
    </w:p>
    <w:p w14:paraId="0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 января 2015 года в Петропавловск-Камчатском городском округе;</w:t>
      </w:r>
    </w:p>
    <w:p w14:paraId="0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 января 2017 года в следующих муниципальных образованиях</w:t>
      </w:r>
      <w:r>
        <w:rPr>
          <w:rFonts w:ascii="Times New Roman" w:hAnsi="Times New Roman"/>
          <w:sz w:val="28"/>
        </w:rPr>
        <w:t>;</w:t>
      </w:r>
    </w:p>
    <w:p w14:paraId="0D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Вилючинском</w:t>
      </w:r>
      <w:r>
        <w:rPr>
          <w:rFonts w:ascii="Times New Roman" w:hAnsi="Times New Roman"/>
          <w:sz w:val="28"/>
        </w:rPr>
        <w:t xml:space="preserve"> городском округе;</w:t>
      </w:r>
    </w:p>
    <w:p w14:paraId="0E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городском округе поселок «Палана»;</w:t>
      </w:r>
    </w:p>
    <w:p w14:paraId="0F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Алеутском муниципальном округе;</w:t>
      </w:r>
    </w:p>
    <w:p w14:paraId="10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Быстринском</w:t>
      </w:r>
      <w:r>
        <w:rPr>
          <w:rFonts w:ascii="Times New Roman" w:hAnsi="Times New Roman"/>
          <w:sz w:val="28"/>
        </w:rPr>
        <w:t xml:space="preserve"> муниципальном районе;</w:t>
      </w:r>
    </w:p>
    <w:p w14:paraId="11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Елизовском</w:t>
      </w:r>
      <w:r>
        <w:rPr>
          <w:rFonts w:ascii="Times New Roman" w:hAnsi="Times New Roman"/>
          <w:sz w:val="28"/>
        </w:rPr>
        <w:t xml:space="preserve"> муниципальном районе;</w:t>
      </w:r>
    </w:p>
    <w:p w14:paraId="12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Карагинском</w:t>
      </w:r>
      <w:r>
        <w:rPr>
          <w:rFonts w:ascii="Times New Roman" w:hAnsi="Times New Roman"/>
          <w:sz w:val="28"/>
        </w:rPr>
        <w:t xml:space="preserve"> муниципальном районе;</w:t>
      </w:r>
    </w:p>
    <w:p w14:paraId="13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Мильковском</w:t>
      </w:r>
      <w:r>
        <w:rPr>
          <w:rFonts w:ascii="Times New Roman" w:hAnsi="Times New Roman"/>
          <w:sz w:val="28"/>
        </w:rPr>
        <w:t xml:space="preserve"> муниципальном районе;</w:t>
      </w:r>
    </w:p>
    <w:p w14:paraId="14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Олюторском</w:t>
      </w:r>
      <w:r>
        <w:rPr>
          <w:rFonts w:ascii="Times New Roman" w:hAnsi="Times New Roman"/>
          <w:sz w:val="28"/>
        </w:rPr>
        <w:t xml:space="preserve"> муниципальном районе;</w:t>
      </w:r>
    </w:p>
    <w:p w14:paraId="15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Пенжинском</w:t>
      </w:r>
      <w:r>
        <w:rPr>
          <w:rFonts w:ascii="Times New Roman" w:hAnsi="Times New Roman"/>
          <w:sz w:val="28"/>
        </w:rPr>
        <w:t xml:space="preserve"> муниципальном районе;</w:t>
      </w:r>
    </w:p>
    <w:p w14:paraId="16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Соболевском муниципальном районе;</w:t>
      </w:r>
    </w:p>
    <w:p w14:paraId="17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Тигильском</w:t>
      </w:r>
      <w:r>
        <w:rPr>
          <w:rFonts w:ascii="Times New Roman" w:hAnsi="Times New Roman"/>
          <w:sz w:val="28"/>
        </w:rPr>
        <w:t xml:space="preserve"> муниципальном районе;</w:t>
      </w:r>
    </w:p>
    <w:p w14:paraId="18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Усть-Большерецком муниципальном районе;</w:t>
      </w:r>
    </w:p>
    <w:p w14:paraId="19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Усть-Камчатском муниципальном районе.</w:t>
      </w:r>
    </w:p>
    <w:p w14:paraId="1A000000">
      <w:pPr>
        <w:pStyle w:val="Style_1"/>
        <w:tabs>
          <w:tab w:leader="none" w:pos="284" w:val="left"/>
          <w:tab w:leader="none" w:pos="851" w:val="left"/>
        </w:tabs>
        <w:spacing w:after="0"/>
        <w:ind w:firstLine="709" w:left="0"/>
        <w:contextualSpacing w:val="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Для формирования Рейтинга используется система показателей, утвержденная Приложением 1 Методики. </w:t>
      </w:r>
    </w:p>
    <w:p w14:paraId="1B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показателей включает в себя блоки «Механизм проведения ОРВ», «Методическое и организационное сопровождение» и «Независимая оценка». В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году рейтинг проведен без учета 5 показателей «Независимой оценки».</w:t>
      </w:r>
    </w:p>
    <w:p w14:paraId="1C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к группе «Высший уровень» относятся городские округа и муниципальные районы Камчатского края, набравшие от 60 до 80 баллов, к группе «Хороший уровень» - от 40 до 59 баллов, к группе «Удовлетворительный уровень» - от 20 до 39 баллов, и к группе «Неудовлетворительный уровень» - от 0 до 19 баллов (без учета 5 пок</w:t>
      </w:r>
      <w:r>
        <w:rPr>
          <w:rFonts w:ascii="Times New Roman" w:hAnsi="Times New Roman"/>
          <w:sz w:val="28"/>
        </w:rPr>
        <w:t>азателей «Независимой оценки» (</w:t>
      </w:r>
      <w:r>
        <w:rPr>
          <w:rFonts w:ascii="Times New Roman" w:hAnsi="Times New Roman"/>
          <w:sz w:val="28"/>
        </w:rPr>
        <w:t>20 баллов).</w:t>
      </w:r>
    </w:p>
    <w:p w14:paraId="1D000000">
      <w:pPr>
        <w:pStyle w:val="Style_1"/>
        <w:tabs>
          <w:tab w:leader="none" w:pos="284" w:val="left"/>
          <w:tab w:leader="none" w:pos="851" w:val="left"/>
        </w:tabs>
        <w:spacing w:after="0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Рейтинг сформирован Министерством на основании сведений, представленных адми</w:t>
      </w:r>
      <w:r>
        <w:rPr>
          <w:rFonts w:ascii="Times New Roman" w:hAnsi="Times New Roman"/>
          <w:sz w:val="28"/>
        </w:rPr>
        <w:t xml:space="preserve">нистрациями городских округов, </w:t>
      </w:r>
      <w:r>
        <w:rPr>
          <w:rFonts w:ascii="Times New Roman" w:hAnsi="Times New Roman"/>
          <w:sz w:val="28"/>
        </w:rPr>
        <w:t>муниципальных районов края</w:t>
      </w:r>
      <w:r>
        <w:rPr>
          <w:rFonts w:ascii="Times New Roman" w:hAnsi="Times New Roman"/>
          <w:sz w:val="28"/>
        </w:rPr>
        <w:t xml:space="preserve"> и Алеутским муниципальным округом</w:t>
      </w:r>
      <w:r>
        <w:rPr>
          <w:rFonts w:ascii="Times New Roman" w:hAnsi="Times New Roman"/>
          <w:sz w:val="28"/>
        </w:rPr>
        <w:t xml:space="preserve"> по форме, установленной Приложением 3 Методики, а также анализа правового механизма и практического опыта реализации института ОРВ в муниципальных образованиях края, методического и организационного сопровождения процедуры ОРВ и экспертизы, мониторинга официальных сайтов. </w:t>
      </w:r>
    </w:p>
    <w:p w14:paraId="1E000000">
      <w:pPr>
        <w:pStyle w:val="Style_1"/>
        <w:tabs>
          <w:tab w:leader="none" w:pos="284" w:val="left"/>
          <w:tab w:leader="none" w:pos="851" w:val="left"/>
        </w:tabs>
        <w:spacing w:after="0"/>
        <w:ind w:firstLine="709" w:left="0"/>
        <w:contextualSpacing w:val="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На показатели рейтинга влияют такие показатели как: </w:t>
      </w:r>
    </w:p>
    <w:p w14:paraId="1F000000">
      <w:pPr>
        <w:pStyle w:val="Style_1"/>
        <w:numPr>
          <w:ilvl w:val="0"/>
          <w:numId w:val="2"/>
        </w:numPr>
        <w:tabs>
          <w:tab w:leader="none" w:pos="284" w:val="left"/>
          <w:tab w:leader="none" w:pos="851" w:val="left"/>
        </w:tabs>
        <w:spacing w:after="0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систематичность проведения ОРВ, то есть оценка проводится в отношении всех проектов, которые изменяют, отменяют или вводят новые обязанности или ответственность для предпринимателей; </w:t>
      </w:r>
    </w:p>
    <w:p w14:paraId="20000000">
      <w:pPr>
        <w:pStyle w:val="Style_1"/>
        <w:numPr>
          <w:ilvl w:val="0"/>
          <w:numId w:val="2"/>
        </w:numPr>
        <w:tabs>
          <w:tab w:leader="none" w:pos="284" w:val="left"/>
          <w:tab w:leader="none" w:pos="851" w:val="left"/>
        </w:tabs>
        <w:spacing w:after="0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качество осуществление публичных консультаций;</w:t>
      </w:r>
    </w:p>
    <w:p w14:paraId="21000000">
      <w:pPr>
        <w:pStyle w:val="Style_1"/>
        <w:numPr>
          <w:ilvl w:val="0"/>
          <w:numId w:val="2"/>
        </w:numPr>
        <w:tabs>
          <w:tab w:leader="none" w:pos="284" w:val="left"/>
          <w:tab w:leader="none" w:pos="851" w:val="left"/>
        </w:tabs>
        <w:spacing w:after="0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закрепление процедуры урегулирования разногласий, выявленных в ходе проведения ОРВ; </w:t>
      </w:r>
    </w:p>
    <w:p w14:paraId="22000000">
      <w:pPr>
        <w:pStyle w:val="Style_1"/>
        <w:numPr>
          <w:ilvl w:val="0"/>
          <w:numId w:val="2"/>
        </w:numPr>
        <w:tabs>
          <w:tab w:leader="none" w:pos="284" w:val="left"/>
          <w:tab w:leader="none" w:pos="851" w:val="left"/>
        </w:tabs>
        <w:spacing w:after="0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количественных методов, наличие выводов о возможных альтернативных способах прилагаемого регулирования; </w:t>
      </w:r>
    </w:p>
    <w:p w14:paraId="23000000">
      <w:pPr>
        <w:pStyle w:val="Style_1"/>
        <w:numPr>
          <w:ilvl w:val="0"/>
          <w:numId w:val="2"/>
        </w:numPr>
        <w:tabs>
          <w:tab w:leader="none" w:pos="284" w:val="left"/>
          <w:tab w:leader="none" w:pos="851" w:val="left"/>
        </w:tabs>
        <w:spacing w:after="0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мероприятий, посвященных реализации института О</w:t>
      </w:r>
      <w:r>
        <w:rPr>
          <w:rFonts w:ascii="Times New Roman" w:hAnsi="Times New Roman"/>
          <w:sz w:val="28"/>
        </w:rPr>
        <w:t>РВ в муниципальных образованиях;</w:t>
      </w:r>
      <w:r>
        <w:rPr>
          <w:rFonts w:ascii="Times New Roman" w:hAnsi="Times New Roman"/>
          <w:sz w:val="28"/>
        </w:rPr>
        <w:t xml:space="preserve"> </w:t>
      </w:r>
    </w:p>
    <w:p w14:paraId="24000000">
      <w:pPr>
        <w:pStyle w:val="Style_1"/>
        <w:numPr>
          <w:ilvl w:val="0"/>
          <w:numId w:val="2"/>
        </w:numPr>
        <w:tabs>
          <w:tab w:leader="none" w:pos="284" w:val="left"/>
          <w:tab w:leader="none" w:pos="851" w:val="left"/>
        </w:tabs>
        <w:spacing w:after="0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качество информации, размещаемой на официальных сайтах администраций муниципальных образований (по мероприятиям, проводимым в рамках процедуры ОРВ и экспертизы в муниципальных образованиях, по проведению публичных консультаций по проектам муниципальных НПА в рамках ОРВ и по муниципальным НПА в рамках экспертизы, иной информации, касающейся процедуры ОРВ и экспертизы).</w:t>
      </w:r>
    </w:p>
    <w:p w14:paraId="25000000">
      <w:pPr>
        <w:pStyle w:val="Style_1"/>
        <w:tabs>
          <w:tab w:leader="none" w:pos="1276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анализа, представленной информации можно сделать вывод о том, что во всех городских округах и муниципальных районах края:</w:t>
      </w:r>
    </w:p>
    <w:p w14:paraId="26000000">
      <w:pPr>
        <w:pStyle w:val="Style_1"/>
        <w:numPr>
          <w:ilvl w:val="0"/>
          <w:numId w:val="3"/>
        </w:numPr>
        <w:tabs>
          <w:tab w:leader="none" w:pos="1276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определено структурное подразделение администрации муниципального образования, ответственное за внедрение процедуры ОРВ проектов муниципальных НПА, выполняющее, функции нормативного </w:t>
      </w:r>
      <w:r>
        <w:rPr>
          <w:rFonts w:ascii="Times New Roman" w:hAnsi="Times New Roman"/>
          <w:sz w:val="28"/>
        </w:rPr>
        <w:t xml:space="preserve">правового, информационного, методического обеспечения ОРВ проектов муниципальных НПА и оценки качества проведения процедуры ОРВ проектов муниципальных НПА, а также на проведение экспертизы муниципальных </w:t>
      </w:r>
      <w:r>
        <w:rPr>
          <w:rFonts w:ascii="Times New Roman" w:hAnsi="Times New Roman"/>
          <w:sz w:val="28"/>
        </w:rPr>
        <w:t>НПА и реализацию института ОРВ;</w:t>
      </w:r>
    </w:p>
    <w:p w14:paraId="27000000">
      <w:pPr>
        <w:pStyle w:val="Style_1"/>
        <w:numPr>
          <w:ilvl w:val="0"/>
          <w:numId w:val="3"/>
        </w:numPr>
        <w:tabs>
          <w:tab w:leader="none" w:pos="1276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приняты муниципальные НПА, утверждающие порядки проведения процедуры ОРВ проектов муниципальных НПА, разработчиками которых является администрация муниципального образования и экспертизы действующих муниципальных НПА (далее – Порядки);</w:t>
      </w:r>
    </w:p>
    <w:p w14:paraId="28000000">
      <w:pPr>
        <w:pStyle w:val="Style_1"/>
        <w:numPr>
          <w:ilvl w:val="0"/>
          <w:numId w:val="3"/>
        </w:numPr>
        <w:tabs>
          <w:tab w:leader="none" w:pos="1276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утверждены формы документов, необходимых для проведения ОРВ проектов муниципальных НПА и экспертизы муниципальных НПА;</w:t>
      </w:r>
    </w:p>
    <w:p w14:paraId="29000000">
      <w:pPr>
        <w:pStyle w:val="Style_1"/>
        <w:numPr>
          <w:ilvl w:val="0"/>
          <w:numId w:val="3"/>
        </w:numPr>
        <w:tabs>
          <w:tab w:leader="none" w:pos="1276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утверждены</w:t>
      </w:r>
      <w:r>
        <w:rPr>
          <w:rFonts w:ascii="Times New Roman" w:hAnsi="Times New Roman"/>
          <w:sz w:val="28"/>
        </w:rPr>
        <w:t xml:space="preserve"> муниципальные НПА, регламентирующие процедуру проведения ОРВ и экспертизы, а также </w:t>
      </w:r>
      <w:r>
        <w:rPr>
          <w:rFonts w:ascii="Times New Roman" w:hAnsi="Times New Roman"/>
          <w:sz w:val="28"/>
        </w:rPr>
        <w:t xml:space="preserve">утверждены </w:t>
      </w:r>
      <w:r>
        <w:rPr>
          <w:rFonts w:ascii="Times New Roman" w:hAnsi="Times New Roman"/>
          <w:sz w:val="28"/>
        </w:rPr>
        <w:t>типов</w:t>
      </w:r>
      <w:r>
        <w:rPr>
          <w:rFonts w:ascii="Times New Roman" w:hAnsi="Times New Roman"/>
          <w:sz w:val="28"/>
        </w:rPr>
        <w:t>ые формы документов, необходимые</w:t>
      </w:r>
      <w:r>
        <w:rPr>
          <w:rFonts w:ascii="Times New Roman" w:hAnsi="Times New Roman"/>
          <w:sz w:val="28"/>
        </w:rPr>
        <w:t xml:space="preserve"> для проведения процедуры ОРВ и экспертизы</w:t>
      </w:r>
      <w:r>
        <w:rPr>
          <w:rFonts w:ascii="Times New Roman" w:hAnsi="Times New Roman"/>
          <w:sz w:val="28"/>
        </w:rPr>
        <w:t>.</w:t>
      </w:r>
    </w:p>
    <w:p w14:paraId="2A000000">
      <w:pPr>
        <w:pStyle w:val="Style_1"/>
        <w:tabs>
          <w:tab w:leader="none" w:pos="1276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муниципальных образованиях утвержден порядок проведения процедуры ОРВ проектов муниципальных НПА, разработчиком которых является представительный орган местного самоуправления муниципального образования.</w:t>
      </w:r>
    </w:p>
    <w:p w14:paraId="2B000000">
      <w:pPr>
        <w:pStyle w:val="Style_1"/>
        <w:tabs>
          <w:tab w:leader="none" w:pos="1276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Процедура урегулирования разногласий, выявленных в ходе проведения ОРВ проектов муниципальных НПА и экспертизы муниципальных НПА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определена </w:t>
      </w:r>
      <w:r>
        <w:rPr>
          <w:rFonts w:ascii="Times New Roman" w:hAnsi="Times New Roman"/>
          <w:sz w:val="28"/>
        </w:rPr>
        <w:t xml:space="preserve">в 12 муниципальных образованиях (не определена в </w:t>
      </w:r>
      <w:r>
        <w:rPr>
          <w:rFonts w:ascii="Times New Roman" w:hAnsi="Times New Roman"/>
          <w:sz w:val="28"/>
        </w:rPr>
        <w:t>Олюторском</w:t>
      </w:r>
      <w:r>
        <w:rPr>
          <w:rFonts w:ascii="Times New Roman" w:hAnsi="Times New Roman"/>
          <w:sz w:val="28"/>
        </w:rPr>
        <w:t xml:space="preserve"> муниципальном районе и </w:t>
      </w:r>
      <w:r>
        <w:rPr>
          <w:rFonts w:ascii="Times New Roman" w:hAnsi="Times New Roman"/>
          <w:sz w:val="28"/>
        </w:rPr>
        <w:t>Пенжинском</w:t>
      </w:r>
      <w:r>
        <w:rPr>
          <w:rFonts w:ascii="Times New Roman" w:hAnsi="Times New Roman"/>
          <w:sz w:val="28"/>
        </w:rPr>
        <w:t xml:space="preserve"> муниципальном районе). </w:t>
      </w:r>
    </w:p>
    <w:p w14:paraId="2C000000">
      <w:pPr>
        <w:tabs>
          <w:tab w:leader="none" w:pos="993" w:val="left"/>
          <w:tab w:leader="none" w:pos="1276" w:val="left"/>
        </w:tabs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муниципальных образованиях проводятся (или планируются) мероприятия, посвященные реализации ОРВ, информация о которых регулярно публикуется в сети Интернет.</w:t>
      </w:r>
    </w:p>
    <w:p w14:paraId="2D000000">
      <w:pPr>
        <w:tabs>
          <w:tab w:leader="none" w:pos="993" w:val="left"/>
          <w:tab w:leader="none" w:pos="1276" w:val="left"/>
        </w:tabs>
        <w:spacing w:after="0"/>
        <w:ind w:firstLine="709" w:left="0"/>
        <w:contextualSpacing w:val="1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Только в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муниципальных образованиях использованы количественные методы или выводы о возможных альтернативных способах регулирования при подготовке заключений об ОРВ.</w:t>
      </w:r>
    </w:p>
    <w:p w14:paraId="2E000000">
      <w:pPr>
        <w:tabs>
          <w:tab w:leader="none" w:pos="1276" w:val="left"/>
        </w:tabs>
        <w:spacing w:after="0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202</w:t>
      </w: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году ОРВ проведена в отношении 44</w:t>
      </w:r>
      <w:r>
        <w:rPr>
          <w:rFonts w:ascii="Times New Roman" w:hAnsi="Times New Roman"/>
          <w:color w:themeColor="text1" w:val="000000"/>
          <w:sz w:val="28"/>
        </w:rPr>
        <w:t xml:space="preserve"> проектов муниципальных НПА.</w:t>
      </w:r>
    </w:p>
    <w:p w14:paraId="2F000000">
      <w:pPr>
        <w:tabs>
          <w:tab w:leader="none" w:pos="1276" w:val="left"/>
        </w:tabs>
        <w:spacing w:after="0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Экспертиза за </w:t>
      </w:r>
      <w:r>
        <w:rPr>
          <w:rFonts w:ascii="Times New Roman" w:hAnsi="Times New Roman"/>
          <w:color w:themeColor="text1" w:val="000000"/>
          <w:sz w:val="28"/>
        </w:rPr>
        <w:t>отчетный период (2</w:t>
      </w:r>
      <w:r>
        <w:rPr>
          <w:rFonts w:ascii="Times New Roman" w:hAnsi="Times New Roman"/>
          <w:color w:themeColor="text1" w:val="000000"/>
          <w:sz w:val="28"/>
        </w:rPr>
        <w:t>0</w:t>
      </w: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>1</w:t>
      </w:r>
      <w:r>
        <w:rPr>
          <w:rFonts w:ascii="Times New Roman" w:hAnsi="Times New Roman"/>
          <w:color w:themeColor="text1" w:val="000000"/>
          <w:sz w:val="28"/>
        </w:rPr>
        <w:t xml:space="preserve"> год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проведена в отношении </w:t>
      </w:r>
      <w:r>
        <w:rPr>
          <w:rFonts w:ascii="Times New Roman" w:hAnsi="Times New Roman"/>
          <w:color w:themeColor="text1" w:val="000000"/>
          <w:sz w:val="28"/>
        </w:rPr>
        <w:t>76</w:t>
      </w:r>
      <w:r>
        <w:rPr>
          <w:rFonts w:ascii="Times New Roman" w:hAnsi="Times New Roman"/>
          <w:color w:themeColor="text1" w:val="000000"/>
          <w:sz w:val="28"/>
        </w:rPr>
        <w:t xml:space="preserve"> действующих муниципальных НПА, по результатам которой в </w:t>
      </w: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муниципальный НПА внесены изменения (или) принято решение об их отмене.</w:t>
      </w:r>
    </w:p>
    <w:p w14:paraId="30000000">
      <w:pPr>
        <w:tabs>
          <w:tab w:leader="none" w:pos="1276" w:val="left"/>
        </w:tabs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отчетном периоде экспертиза </w:t>
      </w:r>
      <w:r>
        <w:rPr>
          <w:rFonts w:ascii="Times New Roman" w:hAnsi="Times New Roman"/>
          <w:color w:themeColor="text1" w:val="000000"/>
          <w:sz w:val="28"/>
        </w:rPr>
        <w:t>действующих муниципальных НПА</w:t>
      </w:r>
      <w:r>
        <w:rPr>
          <w:rFonts w:ascii="Times New Roman" w:hAnsi="Times New Roman"/>
          <w:sz w:val="28"/>
        </w:rPr>
        <w:t xml:space="preserve"> не проводились в</w:t>
      </w:r>
      <w:r>
        <w:rPr>
          <w:rFonts w:ascii="Times New Roman" w:hAnsi="Times New Roman"/>
          <w:sz w:val="28"/>
        </w:rPr>
        <w:t xml:space="preserve"> городском округе «поселок Палана», </w:t>
      </w:r>
      <w:r>
        <w:rPr>
          <w:rFonts w:ascii="Times New Roman" w:hAnsi="Times New Roman"/>
          <w:sz w:val="28"/>
        </w:rPr>
        <w:t>Пенжинском</w:t>
      </w:r>
      <w:r>
        <w:rPr>
          <w:rFonts w:ascii="Times New Roman" w:hAnsi="Times New Roman"/>
          <w:sz w:val="28"/>
        </w:rPr>
        <w:t xml:space="preserve"> муниципальном районе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Быстринском</w:t>
      </w:r>
      <w:r>
        <w:rPr>
          <w:rFonts w:ascii="Times New Roman" w:hAnsi="Times New Roman"/>
          <w:sz w:val="28"/>
        </w:rPr>
        <w:t xml:space="preserve"> муниципальном районе</w:t>
      </w:r>
      <w:r>
        <w:rPr>
          <w:rFonts w:ascii="Times New Roman" w:hAnsi="Times New Roman"/>
          <w:sz w:val="28"/>
        </w:rPr>
        <w:t>; Усть-Камчатском муниципальном районе; Соболевском муниципальном районе</w:t>
      </w:r>
      <w:r>
        <w:rPr>
          <w:rFonts w:ascii="Times New Roman" w:hAnsi="Times New Roman"/>
          <w:sz w:val="28"/>
        </w:rPr>
        <w:t>.</w:t>
      </w:r>
    </w:p>
    <w:p w14:paraId="31000000">
      <w:pPr>
        <w:tabs>
          <w:tab w:leader="none" w:pos="1276" w:val="left"/>
        </w:tabs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муниципальных образования размещают информацию о проводимых публичных консультациях по ОРВ на портале </w:t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instrText>HYPERLINK "http://regulation.kamgov.ru/"</w:instrText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t>http://regulation.kamgov.ru/</w:t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 целью консолидации информации на едином ресурсе: Петропавловск-Камчатский городской округ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Елизовский</w:t>
      </w:r>
      <w:r>
        <w:rPr>
          <w:rFonts w:ascii="Times New Roman" w:hAnsi="Times New Roman"/>
          <w:sz w:val="28"/>
        </w:rPr>
        <w:t xml:space="preserve"> муниципальный район, 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>-Камчатский муниципальный район.</w:t>
      </w:r>
    </w:p>
    <w:p w14:paraId="32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 лидерам в области проводимой ОРВ и экспертизы за отчетный период относятся следующие муниципальные образования: </w:t>
      </w:r>
    </w:p>
    <w:p w14:paraId="3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Елизовский</w:t>
      </w:r>
      <w:r>
        <w:rPr>
          <w:rFonts w:ascii="Times New Roman" w:hAnsi="Times New Roman"/>
          <w:sz w:val="28"/>
        </w:rPr>
        <w:t xml:space="preserve"> муниципальный район. У данного муниципального образования самый высокий балл в рейтинге оценки качества осуществления ОРВ и экспертизы в отчетном периоде. В </w:t>
      </w:r>
      <w:r>
        <w:rPr>
          <w:rFonts w:ascii="Times New Roman" w:hAnsi="Times New Roman"/>
          <w:sz w:val="28"/>
        </w:rPr>
        <w:t>Елизовском</w:t>
      </w:r>
      <w:r>
        <w:rPr>
          <w:rFonts w:ascii="Times New Roman" w:hAnsi="Times New Roman"/>
          <w:sz w:val="28"/>
        </w:rPr>
        <w:t xml:space="preserve"> муниципальном районе проведено больше экспертиз, чем во всех муниципальных районах. </w:t>
      </w:r>
      <w:r>
        <w:rPr>
          <w:rFonts w:ascii="Times New Roman" w:hAnsi="Times New Roman"/>
          <w:sz w:val="28"/>
        </w:rPr>
        <w:t>Подготовлено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заключения об экспертизе</w:t>
      </w:r>
      <w:r>
        <w:rPr>
          <w:rFonts w:ascii="Times New Roman" w:hAnsi="Times New Roman"/>
          <w:sz w:val="28"/>
        </w:rPr>
        <w:t xml:space="preserve"> за отчетный период, </w:t>
      </w:r>
      <w:r>
        <w:rPr>
          <w:rFonts w:ascii="Times New Roman" w:hAnsi="Times New Roman"/>
          <w:sz w:val="28"/>
        </w:rPr>
        <w:t>по результатам которых</w:t>
      </w:r>
      <w:r>
        <w:rPr>
          <w:rFonts w:ascii="Times New Roman" w:hAnsi="Times New Roman"/>
          <w:sz w:val="28"/>
        </w:rPr>
        <w:t xml:space="preserve"> в 17 муниципальных</w:t>
      </w:r>
      <w:r>
        <w:rPr>
          <w:rFonts w:ascii="Times New Roman" w:hAnsi="Times New Roman"/>
          <w:sz w:val="28"/>
        </w:rPr>
        <w:t xml:space="preserve"> НПА внесены изменения. </w:t>
      </w:r>
    </w:p>
    <w:p w14:paraId="3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Тигильский муниципальный район: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подготовлено 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заключений об </w:t>
      </w:r>
      <w:r>
        <w:rPr>
          <w:rFonts w:ascii="Times New Roman" w:hAnsi="Times New Roman"/>
          <w:sz w:val="28"/>
        </w:rPr>
        <w:t>экспертиз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за отчетный пер</w:t>
      </w:r>
      <w:r>
        <w:rPr>
          <w:rFonts w:ascii="Times New Roman" w:hAnsi="Times New Roman"/>
          <w:sz w:val="28"/>
        </w:rPr>
        <w:t>иод, по результатам которых</w:t>
      </w:r>
      <w:r>
        <w:rPr>
          <w:rFonts w:ascii="Times New Roman" w:hAnsi="Times New Roman"/>
          <w:sz w:val="28"/>
        </w:rPr>
        <w:t xml:space="preserve"> по 5</w:t>
      </w:r>
      <w:r>
        <w:rPr>
          <w:rFonts w:ascii="Times New Roman" w:hAnsi="Times New Roman"/>
          <w:sz w:val="28"/>
        </w:rPr>
        <w:t xml:space="preserve"> муниципальным НПА внесены изменения (или) принято решение об их отмене. </w:t>
      </w:r>
    </w:p>
    <w:p w14:paraId="3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Мильковский</w:t>
      </w:r>
      <w:r>
        <w:rPr>
          <w:rFonts w:ascii="Times New Roman" w:hAnsi="Times New Roman"/>
          <w:sz w:val="28"/>
        </w:rPr>
        <w:t xml:space="preserve"> муниципальный район: подготовлено 12 заключений об экспертизе и 11 заключений об ОРВ.</w:t>
      </w:r>
    </w:p>
    <w:p w14:paraId="3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проведения </w:t>
      </w:r>
      <w:r>
        <w:rPr>
          <w:rFonts w:ascii="Times New Roman" w:hAnsi="Times New Roman"/>
          <w:sz w:val="28"/>
        </w:rPr>
        <w:t>ОРВ и эксп</w:t>
      </w:r>
      <w:r>
        <w:rPr>
          <w:rFonts w:ascii="Times New Roman" w:hAnsi="Times New Roman"/>
          <w:sz w:val="28"/>
        </w:rPr>
        <w:t>ертизы за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общими проблемами</w:t>
      </w:r>
      <w:r>
        <w:rPr>
          <w:rFonts w:ascii="Times New Roman" w:hAnsi="Times New Roman"/>
          <w:sz w:val="28"/>
        </w:rPr>
        <w:t xml:space="preserve"> для многих муниципальных районов остаются следующие:</w:t>
      </w:r>
    </w:p>
    <w:p w14:paraId="37000000">
      <w:pPr>
        <w:pStyle w:val="Style_3"/>
        <w:numPr>
          <w:ilvl w:val="0"/>
          <w:numId w:val="4"/>
        </w:num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несистематичность проведения ОРВ разработчиками проектов муниципальных НПА;</w:t>
      </w:r>
    </w:p>
    <w:p w14:paraId="38000000">
      <w:pPr>
        <w:pStyle w:val="Style_3"/>
        <w:numPr>
          <w:ilvl w:val="0"/>
          <w:numId w:val="4"/>
        </w:num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недостаточная</w:t>
      </w:r>
      <w:r>
        <w:rPr>
          <w:sz w:val="28"/>
        </w:rPr>
        <w:t xml:space="preserve"> активность участия бизнеса в ОРВ и экспертизе</w:t>
      </w:r>
      <w:r>
        <w:rPr>
          <w:sz w:val="28"/>
        </w:rPr>
        <w:t>;</w:t>
      </w:r>
    </w:p>
    <w:p w14:paraId="39000000">
      <w:pPr>
        <w:pStyle w:val="Style_3"/>
        <w:numPr>
          <w:ilvl w:val="0"/>
          <w:numId w:val="4"/>
        </w:num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недостаточная информированность адресатов регулирования;</w:t>
      </w:r>
    </w:p>
    <w:p w14:paraId="3A000000">
      <w:pPr>
        <w:pStyle w:val="Style_3"/>
        <w:numPr>
          <w:ilvl w:val="0"/>
          <w:numId w:val="4"/>
        </w:num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формальное отношение разработчиков к процедуре ОРВ;</w:t>
      </w:r>
    </w:p>
    <w:p w14:paraId="3B000000">
      <w:pPr>
        <w:pStyle w:val="Style_1"/>
        <w:numPr>
          <w:ilvl w:val="0"/>
          <w:numId w:val="4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некачественная подготовка сводных отчетов, недостаточная проработка разделов, касающихся оценки расходов субъектов предпринимательской деятельности, рассмотрения альтернативных вариантов регулирования; оценки в количественном в</w:t>
      </w:r>
      <w:r>
        <w:rPr>
          <w:rFonts w:ascii="Times New Roman" w:hAnsi="Times New Roman"/>
          <w:sz w:val="28"/>
        </w:rPr>
        <w:t>арианте правового регулирования.</w:t>
      </w:r>
    </w:p>
    <w:p w14:paraId="3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сем муниципальным образованиям необходимо обратить внимание на качество размещаемой информации на официальных сайтах администраций муниципальных образований (нормативных правовых актов, документов, размещаемых в рамках проведения публичных консультаций по проектам муниципальных НПА в рамках ОРВ и по муниципальным НПА в рамках экспертизы).</w:t>
      </w:r>
    </w:p>
    <w:p w14:paraId="3D000000">
      <w:pPr>
        <w:tabs>
          <w:tab w:leader="none" w:pos="993" w:val="left"/>
        </w:tabs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целях совершенствования института ОРВ Министерство рекомендует: </w:t>
      </w:r>
    </w:p>
    <w:p w14:paraId="3E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ровести работу:</w:t>
      </w:r>
    </w:p>
    <w:p w14:paraId="3F000000">
      <w:pPr>
        <w:tabs>
          <w:tab w:leader="none" w:pos="993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По внесению изменений в Порядки, в части приведения их в соответствие с положениями федерального и краевого законодательства, в том числе в части уточнения сферы ОРВ;</w:t>
      </w:r>
    </w:p>
    <w:p w14:paraId="40000000">
      <w:pPr>
        <w:tabs>
          <w:tab w:leader="none" w:pos="993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По нормативному закреплению процедуры урегулирования разногласий, выявленных в ходе проведения ОРВ проектов муниципальных НПА и экспертизы муниципальных НПА.</w:t>
      </w:r>
    </w:p>
    <w:p w14:paraId="41000000">
      <w:pPr>
        <w:tabs>
          <w:tab w:leader="none" w:pos="993" w:val="left"/>
        </w:tabs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 постоянной основе осуществлять контроль нормотворческого процесса, исключив случаи принятия муниципальных НПА без проведения процедуры ОРВ.</w:t>
      </w:r>
    </w:p>
    <w:p w14:paraId="42000000">
      <w:pPr>
        <w:pStyle w:val="Style_1"/>
        <w:numPr>
          <w:ilvl w:val="0"/>
          <w:numId w:val="5"/>
        </w:numPr>
        <w:tabs>
          <w:tab w:leader="none" w:pos="0" w:val="left"/>
          <w:tab w:leader="none" w:pos="993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повышения эффективности публичных консультаций:</w:t>
      </w:r>
    </w:p>
    <w:p w14:paraId="43000000">
      <w:pPr>
        <w:pStyle w:val="Style_1"/>
        <w:numPr>
          <w:ilvl w:val="0"/>
          <w:numId w:val="6"/>
        </w:numPr>
        <w:tabs>
          <w:tab w:leader="none" w:pos="0" w:val="left"/>
          <w:tab w:leader="none" w:pos="993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систематически проводить адресную рассылку уведомлений о проведении процедуры ОРВ проектов муниципальных НПА и экспертизы действующих муниципальных НПА;</w:t>
      </w:r>
    </w:p>
    <w:p w14:paraId="44000000">
      <w:pPr>
        <w:pStyle w:val="Style_1"/>
        <w:numPr>
          <w:ilvl w:val="0"/>
          <w:numId w:val="6"/>
        </w:numPr>
        <w:tabs>
          <w:tab w:leader="none" w:pos="0" w:val="left"/>
          <w:tab w:leader="none" w:pos="993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взаимодействовать с экспертным сообществом (семинары, совещания, телефонные консультации и т.д.);</w:t>
      </w:r>
    </w:p>
    <w:p w14:paraId="45000000">
      <w:pPr>
        <w:pStyle w:val="Style_1"/>
        <w:numPr>
          <w:ilvl w:val="0"/>
          <w:numId w:val="6"/>
        </w:numPr>
        <w:tabs>
          <w:tab w:leader="none" w:pos="0" w:val="left"/>
          <w:tab w:leader="none" w:pos="993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привлекать членов муниципальных советов по предпринимательству, как наиболее активных представителей предпринимательского сообщества к институту ОРВ (обсуждение проектов муниципальных НПА на заседаниях советов, презентации о возможностях института ОРВ, ежегодные доклады о результатах реализации института ОРВ);</w:t>
      </w:r>
    </w:p>
    <w:p w14:paraId="46000000">
      <w:pPr>
        <w:pStyle w:val="Style_1"/>
        <w:numPr>
          <w:ilvl w:val="0"/>
          <w:numId w:val="6"/>
        </w:numPr>
        <w:tabs>
          <w:tab w:leader="none" w:pos="0" w:val="left"/>
          <w:tab w:leader="none" w:pos="993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мероприятия по информационной поддержке института ОРВ в СМИ (публикации в газетах, на Интернет-ресурсах и т.д.).</w:t>
      </w:r>
    </w:p>
    <w:p w14:paraId="47000000">
      <w:pPr>
        <w:tabs>
          <w:tab w:leader="none" w:pos="0" w:val="left"/>
          <w:tab w:leader="none" w:pos="993" w:val="left"/>
        </w:tabs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При подготовки сводных отчетов и заключений об ОРВ и экспертизе использовать количественные методы, делать вывод о возможных альтернативных способах предлагаемого регулирования. С учетом сопоставления предполагаемых результатов реализации различных вариантов предлагаемого правового регулирования с учетом материальных, временных, трудовых затрат на его введение, а также возможных издержек и выгод предполагаемых адресатов такого регулирования. </w:t>
      </w:r>
    </w:p>
    <w:p w14:paraId="4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До 1 февраля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утвердить и разместить на официальном сайте администрации муниципального образования план проведения экспертизы на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год. </w:t>
      </w:r>
    </w:p>
    <w:p w14:paraId="49000000">
      <w:pPr>
        <w:tabs>
          <w:tab w:leader="none" w:pos="70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6. Создать на официальном сайте администрации муниципального образования в разделе ОРВ подраздел «Лучшие практики», в котором должна отражаться информация о лучших практиках проведения ОРВ проектов муниципальных НПА и экспертизы муниципальных НПА.</w:t>
      </w:r>
    </w:p>
    <w:p w14:paraId="4A000000">
      <w:pPr>
        <w:tabs>
          <w:tab w:leader="none" w:pos="1276" w:val="left"/>
        </w:tabs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</w:t>
      </w:r>
      <w:r>
        <w:rPr>
          <w:rFonts w:ascii="Times New Roman" w:hAnsi="Times New Roman"/>
          <w:sz w:val="28"/>
        </w:rPr>
        <w:t xml:space="preserve">азмещать информацию о проводимых публичных консультациях на портале </w:t>
      </w:r>
      <w:r>
        <w:rPr>
          <w:rStyle w:val="Style_2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themeColor="text1" w:val="000000"/>
          <w:sz w:val="28"/>
        </w:rPr>
        <w:instrText>HYPERLINK "http://regulation.kamgov.ru/"</w:instrText>
      </w:r>
      <w:r>
        <w:rPr>
          <w:rStyle w:val="Style_2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themeColor="text1" w:val="000000"/>
          <w:sz w:val="28"/>
        </w:rPr>
        <w:t>http://regulation.kamgov.ru/</w:t>
      </w:r>
      <w:r>
        <w:rPr>
          <w:rStyle w:val="Style_2_ch"/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 целью консолидации информации на едином ресурсе.</w:t>
      </w:r>
    </w:p>
    <w:p w14:paraId="4B000000">
      <w:pPr>
        <w:tabs>
          <w:tab w:leader="none" w:pos="709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4C000000">
      <w:pPr>
        <w:spacing w:after="160" w:line="264" w:lineRule="auto"/>
        <w:ind/>
      </w:pPr>
    </w:p>
    <w:p w14:paraId="4D000000">
      <w:pPr>
        <w:sectPr>
          <w:pgSz w:h="16838" w:orient="portrait" w:w="11906"/>
          <w:pgMar w:bottom="426" w:footer="708" w:gutter="0" w:header="708" w:left="1418" w:right="850" w:top="851"/>
        </w:sectPr>
      </w:pPr>
    </w:p>
    <w:p w14:paraId="4E000000">
      <w:pPr>
        <w:spacing w:after="0"/>
        <w:ind w:firstLine="709" w:left="0"/>
        <w:jc w:val="both"/>
      </w:pPr>
    </w:p>
    <w:p w14:paraId="4F000000">
      <w:pPr>
        <w:spacing w:after="0"/>
        <w:ind w:firstLine="0" w:left="567"/>
        <w:jc w:val="center"/>
        <w:rPr>
          <w:rFonts w:ascii="Times New Roman" w:hAnsi="Times New Roman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7460615</wp:posOffset>
                </wp:positionH>
                <wp:positionV relativeFrom="paragraph">
                  <wp:posOffset>5070475</wp:posOffset>
                </wp:positionV>
                <wp:extent cx="1781175" cy="60007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781175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000000">
                            <w:pPr>
                              <w:pStyle w:val="Style_4"/>
                              <w:spacing w:after="0" w:before="0"/>
                              <w:ind/>
                              <w:jc w:val="center"/>
                              <w:rPr>
                                <w:b w:val="1"/>
                                <w:color w:themeColor="text1" w:val="000000"/>
                                <w:sz w:val="22"/>
                              </w:rPr>
                            </w:pPr>
                            <w:r>
                              <w:rPr>
                                <w:b w:val="1"/>
                                <w:color w:themeColor="text1" w:val="000000"/>
                                <w:sz w:val="22"/>
                              </w:rPr>
                              <w:t>Неудовлетворительный уровень</w:t>
                            </w:r>
                            <w:r>
                              <w:rPr>
                                <w:b w:val="1"/>
                                <w:color w:themeColor="text1" w:val="000000"/>
                                <w:sz w:val="22"/>
                              </w:rPr>
                              <w:t>:</w:t>
                            </w:r>
                          </w:p>
                          <w:p w14:paraId="51000000">
                            <w:pPr>
                              <w:pStyle w:val="Style_4"/>
                              <w:spacing w:after="0" w:before="0"/>
                              <w:ind/>
                              <w:jc w:val="center"/>
                              <w:rPr>
                                <w:b w:val="1"/>
                                <w:color w:themeColor="text1" w:val="000000"/>
                              </w:rPr>
                            </w:pPr>
                            <w:r>
                              <w:rPr>
                                <w:b w:val="1"/>
                                <w:color w:themeColor="text1" w:val="000000"/>
                              </w:rPr>
                              <w:t>0-19</w:t>
                            </w:r>
                            <w:r>
                              <w:rPr>
                                <w:b w:val="1"/>
                                <w:color w:themeColor="text1" w:val="000000"/>
                              </w:rPr>
                              <w:t xml:space="preserve"> баллов</w:t>
                            </w:r>
                          </w:p>
                        </w:txbxContent>
                      </wps:txbx>
                      <wps:bodyPr anchor="ctr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bookmarkStart w:id="1" w:name="_GoBack"/>
      <w:r>
        <w:rPr>
          <w:color w:val="00B0F0"/>
          <w:shd w:fill="92D050" w:val="clear"/>
        </w:rPr>
        <w:drawing>
          <wp:inline>
            <wp:extent cx="7505700" cy="4524375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7505700" cy="4524375"/>
                    </a:xfrm>
                    <a:prstGeom prst="rect"/>
                  </pic:spPr>
                </pic:pic>
              </a:graphicData>
            </a:graphic>
          </wp:inline>
        </w:drawing>
      </w:r>
      <w:bookmarkEnd w:id="1"/>
    </w:p>
    <w:tbl>
      <w:tblPr>
        <w:tblStyle w:val="Style_5"/>
        <w:tblLayout w:type="fixed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1176"/>
        <w:gridCol w:w="976"/>
        <w:gridCol w:w="976"/>
      </w:tblGrid>
      <w:tr>
        <w:trPr>
          <w:trHeight w:hRule="atLeast" w:val="750"/>
        </w:trPr>
        <w:tc>
          <w:tcPr>
            <w:tcW w:type="dxa" w:w="11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tbl>
            <w:tblPr>
              <w:tblStyle w:val="Style_5"/>
              <w:tblLayout w:type="fixed"/>
              <w:tblCellMar>
                <w:left w:type="dxa" w:w="0"/>
                <w:right w:type="dxa" w:w="0"/>
              </w:tblCellMar>
            </w:tblPr>
            <w:tblGrid>
              <w:gridCol w:w="960"/>
            </w:tblGrid>
            <w:tr>
              <w:trPr>
                <w:trHeight w:hRule="atLeast" w:val="750"/>
              </w:trPr>
              <w:tc>
                <w:tcPr>
                  <w:tcW w:type="dxa" w:w="9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  <w:tcMar>
                    <w:left w:type="dxa" w:w="0"/>
                    <w:right w:type="dxa" w:w="0"/>
                  </w:tcMar>
                  <w:vAlign w:val="bottom"/>
                </w:tcPr>
                <w:p w14:paraId="52000000">
                  <w:pPr>
                    <w:spacing w:after="0" w:line="240" w:lineRule="auto"/>
                    <w:ind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5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-1538605</wp:posOffset>
                      </wp:positionH>
                      <wp:positionV relativeFrom="paragraph">
                        <wp:posOffset>501650</wp:posOffset>
                      </wp:positionV>
                      <wp:extent cx="1724025" cy="600075"/>
                      <wp:wrapNone/>
                      <wp:docPr hidden="false" id="4" name="Picture 4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7240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8000000">
                                  <w:pPr>
                                    <w:pStyle w:val="Style_4"/>
                                    <w:spacing w:after="0" w:before="0"/>
                                    <w:ind/>
                                    <w:jc w:val="center"/>
                                    <w:rPr>
                                      <w:b w:val="1"/>
                                      <w:color w:themeColor="text1"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themeColor="text1" w:val="000000"/>
                                      <w:sz w:val="22"/>
                                    </w:rPr>
                                    <w:t>Высший уровень</w:t>
                                  </w:r>
                                  <w:r>
                                    <w:rPr>
                                      <w:b w:val="1"/>
                                      <w:color w:themeColor="text1" w:val="000000"/>
                                      <w:sz w:val="22"/>
                                    </w:rPr>
                                    <w:t>:</w:t>
                                  </w:r>
                                </w:p>
                                <w:p w14:paraId="59000000">
                                  <w:pPr>
                                    <w:pStyle w:val="Style_4"/>
                                    <w:spacing w:after="0" w:before="0"/>
                                    <w:ind/>
                                    <w:jc w:val="center"/>
                                    <w:rPr>
                                      <w:b w:val="1"/>
                                      <w:color w:themeColor="text1" w:val="000000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themeColor="text1" w:val="000000"/>
                                    </w:rPr>
                                    <w:t>60-80</w:t>
                                  </w:r>
                                  <w:r>
                                    <w:rPr>
                                      <w:b w:val="1"/>
                                      <w:color w:themeColor="text1" w:val="000000"/>
                                    </w:rPr>
                                    <w:t xml:space="preserve"> баллов</w:t>
                                  </w:r>
                                </w:p>
                              </w:txbxContent>
                            </wps:txbx>
                            <wps:bodyPr anchor="ctr" bIns="45720" lIns="91440" rIns="91440" tIns="45720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509269</wp:posOffset>
                      </wp:positionV>
                      <wp:extent cx="1504950" cy="590550"/>
                      <wp:wrapNone/>
                      <wp:docPr hidden="false" id="5" name="Picture 5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5049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B000000">
                                  <w:pPr>
                                    <w:pStyle w:val="Style_4"/>
                                    <w:spacing w:after="0" w:before="0"/>
                                    <w:ind/>
                                    <w:jc w:val="center"/>
                                    <w:rPr>
                                      <w:b w:val="1"/>
                                      <w:color w:themeColor="text1"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themeColor="text1" w:val="000000"/>
                                      <w:sz w:val="22"/>
                                    </w:rPr>
                                    <w:t>Хороший уровень</w:t>
                                  </w:r>
                                  <w:r>
                                    <w:rPr>
                                      <w:b w:val="1"/>
                                      <w:color w:themeColor="text1" w:val="000000"/>
                                      <w:sz w:val="22"/>
                                    </w:rPr>
                                    <w:t>:</w:t>
                                  </w:r>
                                </w:p>
                                <w:p w14:paraId="5C000000">
                                  <w:pPr>
                                    <w:pStyle w:val="Style_4"/>
                                    <w:spacing w:after="0" w:before="0"/>
                                    <w:ind/>
                                    <w:jc w:val="center"/>
                                    <w:rPr>
                                      <w:b w:val="1"/>
                                      <w:color w:themeColor="text1" w:val="000000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themeColor="text1" w:val="000000"/>
                                    </w:rPr>
                                    <w:t>40-59</w:t>
                                  </w:r>
                                  <w:r>
                                    <w:rPr>
                                      <w:b w:val="1"/>
                                      <w:color w:themeColor="text1" w:val="000000"/>
                                    </w:rPr>
                                    <w:t xml:space="preserve"> баллов</w:t>
                                  </w:r>
                                </w:p>
                              </w:txbxContent>
                            </wps:txbx>
                            <wps:bodyPr anchor="ctr" bIns="45720" lIns="91440" rIns="91440" tIns="45720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  <w:tbl>
            <w:tblPr>
              <w:tblStyle w:val="Style_5"/>
              <w:tblLayout w:type="fixed"/>
              <w:tblCellMar>
                <w:left w:type="dxa" w:w="0"/>
                <w:right w:type="dxa" w:w="0"/>
              </w:tblCellMar>
            </w:tblPr>
            <w:tblGrid>
              <w:gridCol w:w="960"/>
            </w:tblGrid>
            <w:tr>
              <w:trPr>
                <w:trHeight w:hRule="atLeast" w:val="750"/>
              </w:trPr>
              <w:tc>
                <w:tcPr>
                  <w:tcW w:type="dxa" w:w="9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  <w:tcMar>
                    <w:left w:type="dxa" w:w="0"/>
                    <w:right w:type="dxa" w:w="0"/>
                  </w:tcMar>
                  <w:vAlign w:val="bottom"/>
                </w:tcPr>
                <w:p w14:paraId="5F000000">
                  <w:pPr>
                    <w:spacing w:after="0" w:line="240" w:lineRule="auto"/>
                    <w:ind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60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502285</wp:posOffset>
                      </wp:positionV>
                      <wp:extent cx="1647825" cy="590550"/>
                      <wp:wrapNone/>
                      <wp:docPr hidden="false" id="6" name="Picture 6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6478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2000000">
                                  <w:pPr>
                                    <w:pStyle w:val="Style_4"/>
                                    <w:spacing w:after="0" w:before="0"/>
                                    <w:ind/>
                                    <w:jc w:val="center"/>
                                    <w:rPr>
                                      <w:b w:val="1"/>
                                      <w:color w:themeColor="text1"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themeColor="text1" w:val="000000"/>
                                      <w:sz w:val="22"/>
                                    </w:rPr>
                                    <w:t>Удовлетворительный уровень</w:t>
                                  </w:r>
                                  <w:r>
                                    <w:rPr>
                                      <w:b w:val="1"/>
                                      <w:color w:themeColor="text1" w:val="000000"/>
                                      <w:sz w:val="22"/>
                                    </w:rPr>
                                    <w:t>:</w:t>
                                  </w:r>
                                </w:p>
                                <w:p w14:paraId="63000000">
                                  <w:pPr>
                                    <w:pStyle w:val="Style_4"/>
                                    <w:spacing w:after="0" w:before="0"/>
                                    <w:ind/>
                                    <w:jc w:val="center"/>
                                    <w:rPr>
                                      <w:b w:val="1"/>
                                      <w:color w:themeColor="text1" w:val="000000"/>
                                    </w:rPr>
                                  </w:pPr>
                                  <w:r>
                                    <w:rPr>
                                      <w:b w:val="1"/>
                                      <w:color w:themeColor="text1" w:val="000000"/>
                                    </w:rPr>
                                    <w:t>20-39</w:t>
                                  </w:r>
                                  <w:r>
                                    <w:rPr>
                                      <w:b w:val="1"/>
                                      <w:color w:themeColor="text1" w:val="000000"/>
                                    </w:rPr>
                                    <w:t xml:space="preserve"> баллов</w:t>
                                  </w:r>
                                </w:p>
                              </w:txbxContent>
                            </wps:txbx>
                            <wps:bodyPr anchor="ctr" bIns="45720" lIns="91440" rIns="91440" tIns="45720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750"/>
        </w:trPr>
        <w:tc>
          <w:tcPr>
            <w:tcW w:type="dxa" w:w="11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6F000000">
      <w:pPr>
        <w:spacing w:after="0"/>
        <w:ind/>
        <w:jc w:val="both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425" w:right="851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702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3"/>
      <w:numFmt w:val="decimal"/>
      <w:lvlText w:val="%1."/>
      <w:lvlJc w:val="left"/>
      <w:pPr>
        <w:ind w:hanging="360" w:left="1004"/>
      </w:pPr>
    </w:lvl>
    <w:lvl w:ilvl="1">
      <w:start w:val="1"/>
      <w:numFmt w:val="lowerLetter"/>
      <w:lvlText w:val="%2."/>
      <w:lvlJc w:val="left"/>
      <w:pPr>
        <w:ind w:hanging="360" w:left="1724"/>
      </w:pPr>
    </w:lvl>
    <w:lvl w:ilvl="2">
      <w:start w:val="1"/>
      <w:numFmt w:val="lowerRoman"/>
      <w:lvlText w:val="%3."/>
      <w:lvlJc w:val="right"/>
      <w:pPr>
        <w:ind w:hanging="180" w:left="2444"/>
      </w:pPr>
    </w:lvl>
    <w:lvl w:ilvl="3">
      <w:start w:val="1"/>
      <w:numFmt w:val="decimal"/>
      <w:lvlText w:val="%4."/>
      <w:lvlJc w:val="left"/>
      <w:pPr>
        <w:ind w:hanging="360" w:left="3164"/>
      </w:pPr>
    </w:lvl>
    <w:lvl w:ilvl="4">
      <w:start w:val="1"/>
      <w:numFmt w:val="lowerLetter"/>
      <w:lvlText w:val="%5."/>
      <w:lvlJc w:val="left"/>
      <w:pPr>
        <w:ind w:hanging="360" w:left="3884"/>
      </w:pPr>
    </w:lvl>
    <w:lvl w:ilvl="5">
      <w:start w:val="1"/>
      <w:numFmt w:val="lowerRoman"/>
      <w:lvlText w:val="%6."/>
      <w:lvlJc w:val="right"/>
      <w:pPr>
        <w:ind w:hanging="180" w:left="4604"/>
      </w:pPr>
    </w:lvl>
    <w:lvl w:ilvl="6">
      <w:start w:val="1"/>
      <w:numFmt w:val="decimal"/>
      <w:lvlText w:val="%7."/>
      <w:lvlJc w:val="left"/>
      <w:pPr>
        <w:ind w:hanging="360" w:left="5324"/>
      </w:pPr>
    </w:lvl>
    <w:lvl w:ilvl="7">
      <w:start w:val="1"/>
      <w:numFmt w:val="lowerLetter"/>
      <w:lvlText w:val="%8."/>
      <w:lvlJc w:val="left"/>
      <w:pPr>
        <w:ind w:hanging="360" w:left="6044"/>
      </w:pPr>
    </w:lvl>
    <w:lvl w:ilvl="8">
      <w:start w:val="1"/>
      <w:numFmt w:val="lowerRoman"/>
      <w:lvlText w:val="%9."/>
      <w:lvlJc w:val="right"/>
      <w:pPr>
        <w:ind w:hanging="180" w:left="6764"/>
      </w:pPr>
    </w:lvl>
  </w:abstractNum>
  <w:abstractNum w:abstractNumId="5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1" w:type="paragraph">
    <w:name w:val="List Paragraph"/>
    <w:basedOn w:val="Style_6"/>
    <w:link w:val="Style_1_ch"/>
    <w:pPr>
      <w:ind w:firstLine="0" w:left="720"/>
      <w:contextualSpacing w:val="1"/>
    </w:pPr>
  </w:style>
  <w:style w:styleId="Style_1_ch" w:type="character">
    <w:name w:val="List Paragraph"/>
    <w:basedOn w:val="Style_6_ch"/>
    <w:link w:val="Style_1"/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Default"/>
    <w:link w:val="Style_3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3_ch" w:type="character">
    <w:name w:val="Default"/>
    <w:link w:val="Style_3"/>
    <w:rPr>
      <w:rFonts w:ascii="Times New Roman" w:hAnsi="Times New Roman"/>
      <w:color w:val="000000"/>
      <w:sz w:val="24"/>
    </w:rPr>
  </w:style>
  <w:style w:styleId="Style_4" w:type="paragraph">
    <w:name w:val="Normal (Web)"/>
    <w:basedOn w:val="Style_6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6_ch"/>
    <w:link w:val="Style_4"/>
    <w:rPr>
      <w:rFonts w:ascii="Times New Roman" w:hAnsi="Times New Roman"/>
      <w:sz w:val="24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basedOn w:val="Style_15"/>
    <w:link w:val="Style_2_ch"/>
    <w:rPr>
      <w:color w:val="0000FF"/>
      <w:u w:val="single"/>
    </w:rPr>
  </w:style>
  <w:style w:styleId="Style_2_ch" w:type="character">
    <w:name w:val="Hyperlink"/>
    <w:basedOn w:val="Style_15_ch"/>
    <w:link w:val="Style_2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Balloon Text"/>
    <w:basedOn w:val="Style_6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6_ch"/>
    <w:link w:val="Style_18"/>
    <w:rPr>
      <w:rFonts w:ascii="Segoe UI" w:hAnsi="Segoe UI"/>
      <w:sz w:val="1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2023-02-06T05:43:41Z</dcterms:modified>
</cp:coreProperties>
</file>