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7D" w:rsidRDefault="00DA56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567D" w:rsidRDefault="00DA567D">
      <w:pPr>
        <w:pStyle w:val="ConsPlusNormal"/>
        <w:ind w:firstLine="540"/>
        <w:jc w:val="both"/>
        <w:outlineLvl w:val="0"/>
      </w:pPr>
    </w:p>
    <w:p w:rsidR="00DA567D" w:rsidRDefault="00DA567D">
      <w:pPr>
        <w:pStyle w:val="ConsPlusTitle"/>
        <w:jc w:val="center"/>
        <w:outlineLvl w:val="0"/>
      </w:pPr>
      <w:r>
        <w:t>ПРАВИТЕЛЬСТВО КАМЧАТСКОГО КРАЯ</w:t>
      </w:r>
    </w:p>
    <w:p w:rsidR="00DA567D" w:rsidRDefault="00DA567D">
      <w:pPr>
        <w:pStyle w:val="ConsPlusTitle"/>
        <w:jc w:val="center"/>
      </w:pPr>
    </w:p>
    <w:p w:rsidR="00DA567D" w:rsidRDefault="00DA567D">
      <w:pPr>
        <w:pStyle w:val="ConsPlusTitle"/>
        <w:jc w:val="center"/>
      </w:pPr>
      <w:r>
        <w:t>ПОСТАНОВЛЕНИЕ</w:t>
      </w:r>
    </w:p>
    <w:p w:rsidR="00DA567D" w:rsidRDefault="00DA567D">
      <w:pPr>
        <w:pStyle w:val="ConsPlusTitle"/>
        <w:jc w:val="center"/>
      </w:pPr>
      <w:r>
        <w:t>от 9 апреля 2008 г. N 92-П</w:t>
      </w:r>
    </w:p>
    <w:p w:rsidR="00DA567D" w:rsidRDefault="00DA567D">
      <w:pPr>
        <w:pStyle w:val="ConsPlusTitle"/>
        <w:jc w:val="center"/>
      </w:pPr>
    </w:p>
    <w:p w:rsidR="00DA567D" w:rsidRDefault="00DA567D">
      <w:pPr>
        <w:pStyle w:val="ConsPlusTitle"/>
        <w:jc w:val="center"/>
      </w:pPr>
      <w:r>
        <w:t>ОБ УТВЕРЖДЕНИИ ПРАВИЛ ПОЛЬЗОВАНИЯ ВОДНЫМИ ОБЪЕКТАМИ</w:t>
      </w:r>
    </w:p>
    <w:p w:rsidR="00DA567D" w:rsidRDefault="00DA567D">
      <w:pPr>
        <w:pStyle w:val="ConsPlusTitle"/>
        <w:jc w:val="center"/>
      </w:pPr>
      <w:r>
        <w:t>ДЛЯ ПЛАВАНИЯ НА МАЛОМЕРНЫХ СУДАХ В КАМЧАТСКОМ КРАЕ</w:t>
      </w:r>
    </w:p>
    <w:p w:rsidR="00DA567D" w:rsidRDefault="00DA567D">
      <w:pPr>
        <w:pStyle w:val="ConsPlusNormal"/>
        <w:jc w:val="center"/>
      </w:pPr>
    </w:p>
    <w:p w:rsidR="00DA567D" w:rsidRDefault="00DA567D">
      <w:pPr>
        <w:pStyle w:val="ConsPlusNormal"/>
        <w:jc w:val="center"/>
      </w:pPr>
      <w:r>
        <w:t>Список изменяющих документов</w:t>
      </w:r>
    </w:p>
    <w:p w:rsidR="00DA567D" w:rsidRDefault="00DA567D">
      <w:pPr>
        <w:pStyle w:val="ConsPlusNormal"/>
        <w:jc w:val="center"/>
      </w:pPr>
      <w:r>
        <w:t>(в ред. Постановлений Правительства Камчатского края</w:t>
      </w:r>
    </w:p>
    <w:p w:rsidR="00DA567D" w:rsidRDefault="00DA567D">
      <w:pPr>
        <w:pStyle w:val="ConsPlusNormal"/>
        <w:jc w:val="center"/>
      </w:pPr>
      <w:r>
        <w:t xml:space="preserve">от 04.06.2008 </w:t>
      </w:r>
      <w:hyperlink r:id="rId5" w:history="1">
        <w:r>
          <w:rPr>
            <w:color w:val="0000FF"/>
          </w:rPr>
          <w:t>N 170-П</w:t>
        </w:r>
      </w:hyperlink>
      <w:r>
        <w:t xml:space="preserve">, от 03.11.2010 </w:t>
      </w:r>
      <w:hyperlink r:id="rId6" w:history="1">
        <w:r>
          <w:rPr>
            <w:color w:val="0000FF"/>
          </w:rPr>
          <w:t>N 467-П</w:t>
        </w:r>
      </w:hyperlink>
      <w:r>
        <w:t>,</w:t>
      </w:r>
    </w:p>
    <w:p w:rsidR="00DA567D" w:rsidRDefault="00DA567D">
      <w:pPr>
        <w:pStyle w:val="ConsPlusNormal"/>
        <w:jc w:val="center"/>
      </w:pPr>
      <w:r>
        <w:t xml:space="preserve">от 23.05.2011 </w:t>
      </w:r>
      <w:hyperlink r:id="rId7" w:history="1">
        <w:r>
          <w:rPr>
            <w:color w:val="0000FF"/>
          </w:rPr>
          <w:t>N 194-П</w:t>
        </w:r>
      </w:hyperlink>
      <w:r>
        <w:t xml:space="preserve">, от 30.06.2011 </w:t>
      </w:r>
      <w:hyperlink r:id="rId8" w:history="1">
        <w:r>
          <w:rPr>
            <w:color w:val="0000FF"/>
          </w:rPr>
          <w:t>N 274-П</w:t>
        </w:r>
      </w:hyperlink>
      <w:r>
        <w:t>,</w:t>
      </w:r>
    </w:p>
    <w:p w:rsidR="00DA567D" w:rsidRDefault="00DA567D">
      <w:pPr>
        <w:pStyle w:val="ConsPlusNormal"/>
        <w:jc w:val="center"/>
      </w:pPr>
      <w:r>
        <w:t xml:space="preserve">от 03.06.2014 </w:t>
      </w:r>
      <w:hyperlink r:id="rId9" w:history="1">
        <w:r>
          <w:rPr>
            <w:color w:val="0000FF"/>
          </w:rPr>
          <w:t>N 247-П</w:t>
        </w:r>
      </w:hyperlink>
      <w:r>
        <w:t>)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7 статьи 25</w:t>
        </w:r>
      </w:hyperlink>
      <w:r>
        <w:t xml:space="preserve"> Водного кодекса Российской Федерации от 03.06.2006 N 74-ФЗ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  <w:r>
        <w:t>ПРАВИТЕЛЬСТВО ПОСТАНОВЛЯЕТ: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пользования водными объектами для плавания на маломерных судах в Камчатском крае согласно приложению.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jc w:val="right"/>
      </w:pPr>
      <w:r>
        <w:t>Губернатор</w:t>
      </w:r>
    </w:p>
    <w:p w:rsidR="00DA567D" w:rsidRDefault="00DA567D">
      <w:pPr>
        <w:pStyle w:val="ConsPlusNormal"/>
        <w:jc w:val="right"/>
      </w:pPr>
      <w:r>
        <w:t>Камчатского края</w:t>
      </w:r>
    </w:p>
    <w:p w:rsidR="00DA567D" w:rsidRDefault="00DA567D">
      <w:pPr>
        <w:pStyle w:val="ConsPlusNormal"/>
        <w:jc w:val="right"/>
      </w:pPr>
      <w:r>
        <w:t>А.А.КУЗЬМИЦКИЙ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jc w:val="right"/>
        <w:outlineLvl w:val="0"/>
      </w:pPr>
      <w:r>
        <w:t>Приложение</w:t>
      </w:r>
    </w:p>
    <w:p w:rsidR="00DA567D" w:rsidRDefault="00DA567D">
      <w:pPr>
        <w:pStyle w:val="ConsPlusNormal"/>
        <w:jc w:val="right"/>
      </w:pPr>
      <w:r>
        <w:t>к Постановлению Правительства</w:t>
      </w:r>
    </w:p>
    <w:p w:rsidR="00DA567D" w:rsidRDefault="00DA567D">
      <w:pPr>
        <w:pStyle w:val="ConsPlusNormal"/>
        <w:jc w:val="right"/>
      </w:pPr>
      <w:r>
        <w:t>Камчатского края</w:t>
      </w:r>
    </w:p>
    <w:p w:rsidR="00DA567D" w:rsidRDefault="00DA567D">
      <w:pPr>
        <w:pStyle w:val="ConsPlusNormal"/>
        <w:jc w:val="right"/>
      </w:pPr>
      <w:r>
        <w:t>от 09.04.2008 N 92-П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Title"/>
        <w:jc w:val="center"/>
      </w:pPr>
      <w:bookmarkStart w:id="0" w:name="P34"/>
      <w:bookmarkEnd w:id="0"/>
      <w:r>
        <w:t>ПРАВИЛА ПОЛЬЗОВАНИЯ ВОДНЫМИ ОБЪЕКТАМИ</w:t>
      </w:r>
    </w:p>
    <w:p w:rsidR="00DA567D" w:rsidRDefault="00DA567D">
      <w:pPr>
        <w:pStyle w:val="ConsPlusTitle"/>
        <w:jc w:val="center"/>
      </w:pPr>
      <w:r>
        <w:t>ДЛЯ ПЛАВАНИЯ НА МАЛОМЕРНЫХ СУДАХ В КАМЧАТСКОМ КРАЕ</w:t>
      </w:r>
    </w:p>
    <w:p w:rsidR="00DA567D" w:rsidRDefault="00DA567D">
      <w:pPr>
        <w:pStyle w:val="ConsPlusNormal"/>
        <w:jc w:val="center"/>
      </w:pPr>
    </w:p>
    <w:p w:rsidR="00DA567D" w:rsidRDefault="00DA567D">
      <w:pPr>
        <w:pStyle w:val="ConsPlusNormal"/>
        <w:jc w:val="center"/>
      </w:pPr>
      <w:r>
        <w:t>Список изменяющих документов</w:t>
      </w:r>
    </w:p>
    <w:p w:rsidR="00DA567D" w:rsidRDefault="00DA567D">
      <w:pPr>
        <w:pStyle w:val="ConsPlusNormal"/>
        <w:jc w:val="center"/>
      </w:pPr>
      <w:r>
        <w:t>(в ред. Постановлений Правительства Камчатского края</w:t>
      </w:r>
    </w:p>
    <w:p w:rsidR="00DA567D" w:rsidRDefault="00DA567D">
      <w:pPr>
        <w:pStyle w:val="ConsPlusNormal"/>
        <w:jc w:val="center"/>
      </w:pPr>
      <w:r>
        <w:t xml:space="preserve">от 04.06.2008 </w:t>
      </w:r>
      <w:hyperlink r:id="rId11" w:history="1">
        <w:r>
          <w:rPr>
            <w:color w:val="0000FF"/>
          </w:rPr>
          <w:t>N 170-П</w:t>
        </w:r>
      </w:hyperlink>
      <w:r>
        <w:t xml:space="preserve">, от 03.11.2010 </w:t>
      </w:r>
      <w:hyperlink r:id="rId12" w:history="1">
        <w:r>
          <w:rPr>
            <w:color w:val="0000FF"/>
          </w:rPr>
          <w:t>N 467-П</w:t>
        </w:r>
      </w:hyperlink>
      <w:r>
        <w:t>,</w:t>
      </w:r>
    </w:p>
    <w:p w:rsidR="00DA567D" w:rsidRDefault="00DA567D">
      <w:pPr>
        <w:pStyle w:val="ConsPlusNormal"/>
        <w:jc w:val="center"/>
      </w:pPr>
      <w:r>
        <w:t xml:space="preserve">от 23.05.2011 </w:t>
      </w:r>
      <w:hyperlink r:id="rId13" w:history="1">
        <w:r>
          <w:rPr>
            <w:color w:val="0000FF"/>
          </w:rPr>
          <w:t>N 194-П</w:t>
        </w:r>
      </w:hyperlink>
      <w:r>
        <w:t xml:space="preserve">, от 30.06.2011 </w:t>
      </w:r>
      <w:hyperlink r:id="rId14" w:history="1">
        <w:r>
          <w:rPr>
            <w:color w:val="0000FF"/>
          </w:rPr>
          <w:t>N 274-П</w:t>
        </w:r>
      </w:hyperlink>
      <w:r>
        <w:t>)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jc w:val="center"/>
        <w:outlineLvl w:val="1"/>
      </w:pPr>
      <w:r>
        <w:t>1. Общие положения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  <w:r>
        <w:t xml:space="preserve">1.1. Настоящие Правила пользования водными объектами для плавания на маломерных судах в Камчатском крае (далее - Правила) разработаны в соответствии с Водным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от 03.06.2006 N 74-ФЗ,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23.12.2004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</w:t>
      </w:r>
      <w:r>
        <w:lastRenderedPageBreak/>
        <w:t>пользования маломерными судами на водных объектах Российской Федерации,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29.06.2005 N 502 (далее - Правила пользования маломерными судами на водных объектах Российской Федерации).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Правила устанавливают порядок пользования водными объектами для плавания и базирования маломерных судов поднадзорных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ГИМС МЧС России) и являются обязательными для физических и юридических лиц.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1.2. Под маломерными судами в настоящих Правилах понимаются: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1) 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(гидроциклы) и несамоходные суда вместимостью менее 80 тонн (кроме пассажирских, наливных, военных, прогулочных парусных и спортивных парусных судов, судов смешанного (река-море) плавания, а также принадлежащих физическим лицам гребных лодок грузоподъемностью менее 100 килограммов, байдарок - менее 150 килограммов и надувных безмоторных судов - менее 225 килограммов), эксплуатируемые во внутренних водах;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2) прогулочные суда пассажировместимостью не более 12 человек независимо от мощности главных двигателей и вместимости, иные суда и плавучие средства пассажировместимостью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грузопассажирских, нефтеналивных, буксирных, военных и спортивных парусных судов), используемые в целях мореплавания.</w:t>
      </w:r>
    </w:p>
    <w:p w:rsidR="00DA567D" w:rsidRDefault="00DA567D">
      <w:pPr>
        <w:pStyle w:val="ConsPlusNormal"/>
        <w:jc w:val="both"/>
      </w:pPr>
      <w:r>
        <w:t xml:space="preserve">(часть 1.2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30.06.2011 N 274-П)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1.3. Поверхностные водные объекты, находящиеся в государственной или муниципальной собственности, являются водными объектами общего пользования и используются для плавания на маломерных судах без заключения договора водопользования или принятия решения о предоставлении водного объекта в пользование.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1.4. Использование маломерных судов на водных объектах общего пользования может быть ограничено, приостановлено или запрещено в случаях, предусмотренных законодательством Российской Федерации и законодательством Камчатского края, о чем население оповещается органами местного самоуправления муниципальных образований в Камчатском крае (далее - органы местного самоуправления) через средства массовой информации и посредством специальных информационных знаков, устанавливаемых вдоль берегов водных объектов, или иными способами доведения информации.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1.5. Руководители предприятий, учреждений и организаций, владеющие маломерными судами и (или) базами (сооружения) для их стоянок, обязаны назначить должностных лиц, ответственных за эксплуатацию этих судов и баз (сооружений).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 xml:space="preserve">1.6. Проведение на водных объектах соревнований (регат), водных праздников, экскурсий и других массовых мероприятий с использованием маломерных судов осуществляется с учетом правил использования водных объектов общего водопользования для личных и бытовых нужд, устанавливаемых органами местного самоуправления, в местах, согласованных с Государственной инспекцией по маломерным судам в составе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(далее - ГИМС ГУ МЧС России по Камчатскому краю), и Центром Государственной инспекции по маломерным судам Министерства Российской Федерации </w:t>
      </w:r>
      <w:r>
        <w:lastRenderedPageBreak/>
        <w:t>по делам гражданской обороны и чрезвычайным ситуациям и ликвидации последствий стихийных бедствий по Камчатскому краю (далее - Центр ГИМС по Камчатскому краю), Управлением Федеральной службы по надзору в сфере защиты прав потребителей и благополучия человека по Камчатскому краю (далее - Роспотребнадзор по Камчатскому краю).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 xml:space="preserve">1.7. При пользовании водными объектами для плавания на маломерных судах в Камчатском крае судоводители маломерных судов обязаны выполнять требования настоящих Правил, Правил пользования маломерными судами на водных объектах Российской Федерации, </w:t>
      </w:r>
      <w:hyperlink r:id="rId19" w:history="1">
        <w:r>
          <w:rPr>
            <w:color w:val="0000FF"/>
          </w:rPr>
          <w:t>Правил</w:t>
        </w:r>
      </w:hyperlink>
      <w:r>
        <w:t xml:space="preserve"> плавания по внутренним водным путям Российской Федерации, утвержденных Приказом Министерства транспорта Российской Федерации от 14.10.2002 N 129 (далее - Правила плавания по внутренним водным путям Российской Федерации), Международных правил предупреждения столкновений судов в море, принятых Международной Женевской конвенцией в 1972 году (далее - МППСС - 72), обязательных постановлений капитанов морских портов и иных правил, обеспечивающих безаварийное плевание судов, безопасность людей и охрану окружающей природной среды на водных объектах в Камчатском крае.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1.8. Использование водных объектов для плавания на маломерных судах разрешается после окончания ледохода (очистки водного объекта ото льда) до начала ледостава. Сроки начала и окончания навигации для маломерных судов устанавливаются постановлением Правительства Камчатского края по согласованию с главным государственным инспектором ГИМС ГУ МЧС России по Камчатскому краю с учетом особенностей местных и климатических условий.</w:t>
      </w:r>
    </w:p>
    <w:p w:rsidR="00DA567D" w:rsidRDefault="00DA567D">
      <w:pPr>
        <w:pStyle w:val="ConsPlusNormal"/>
        <w:jc w:val="both"/>
      </w:pPr>
      <w:r>
        <w:t xml:space="preserve">(часть 1.8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30.06.2011 N 274-П)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1.9. Лица, нарушившие требования настоящих Правил, несут ответственность в соответствии с законодательством.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jc w:val="center"/>
        <w:outlineLvl w:val="1"/>
      </w:pPr>
      <w:r>
        <w:t>2. Обеспечение безопасности плавания на маломерных судах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  <w:r>
        <w:t>2.1. Маломерное судно допускается к плаванию на водных объектах расположенных на территории Камчатского края после его государственной регистрации в установленном порядке, нанесения бортовых (регистрационных) номеров и прохождения технического освидетельствования (осмотра), с соблюдением установленных условий, норм технических требований по пассажировместимости,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средствами связи, спасательными и противопожарными средствами, сигнальными огнями, навигационным и другим оборудованием.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2.2. Выход в плавание и управление маломерным судном разрешается только в период навигации при наличии у судоводителей: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1) удостоверения на право управления маломерным судном, выданного соответствующим надзорным органом;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2) судового билета маломерного судна или его копии, заверенной в установленном порядке, с отметкой о прохождении ежегодного технического освидетельствования (осмотра);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3) документа на право пользования маломерным судном (при отсутствии на борту собственника судна или судовладельца).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2.3. Безопасная скорость движения маломерных судов на акваториях в границах населенных пунктов и баз (сооружений) для стоянок маломерных судов устанавливается главным государственным инспектором ГИМС ГУ МЧС России по Камчатскому краю применительно к местным условиям, в соответствии с Правилами плавания по внутренним водным путям Российской Федерации и МППСС-72.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lastRenderedPageBreak/>
        <w:t>2.4. На акваториях в границах портов, пристаней, баз (сооружений) для стоянок маломерных судов, вблизи пляжей и в районах массового отдыха населения на воде движение моторных судов должно осуществляться с безопасной скоростью (безопасная скорость - выбранная скорость, которая позволяет обеспечивать безопасное движение, маневрирование и остановку судна в пределах расстояния, требуемого сложившимися обстоятельствами), исключающей волнообразование, которое может негативно повлиять на людей, другие плавсредства, гидротехнические и причальные сооружения.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2.5. Для плавания на маломерных судах, судоводители и пассажиры, должны быть одеты в спасательные жилеты: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1) на маломерных судах не имеющих, предусмотренных леерных ограждений;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2) в случаях ухудшения гидрометеообстановки на водоеме;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3) дети, в возрасте до 7 лет, в индивидуальных спасательных средствах спасения, при обязательном сопровождении взрослых;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4) при плавании по рекам с быстрым течением, прохождении "порогов" и опасных участков;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5) при оказании помощи судну (человеку) терпящему бедствие;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6) во время осуществления буксировки другим судном;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7) в случае получения судном аварийных повреждений, возникновении технических неполадок.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Спасательные жилеты должны иметь сертификат соответствия, и нанесенную маркировку бортового (регистрационного) номера присвоенного маломерному судну.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jc w:val="center"/>
        <w:outlineLvl w:val="1"/>
      </w:pPr>
      <w:r>
        <w:t>3. Требования по обеспечению безопасности</w:t>
      </w:r>
    </w:p>
    <w:p w:rsidR="00DA567D" w:rsidRDefault="00DA567D">
      <w:pPr>
        <w:pStyle w:val="ConsPlusNormal"/>
        <w:jc w:val="center"/>
      </w:pPr>
      <w:r>
        <w:t>на базах (сооружениях) для стоянок маломерных судов</w:t>
      </w:r>
    </w:p>
    <w:p w:rsidR="00DA567D" w:rsidRDefault="00DA567D">
      <w:pPr>
        <w:pStyle w:val="ConsPlusNormal"/>
        <w:jc w:val="center"/>
      </w:pPr>
      <w:r>
        <w:t>и порядок пользования базами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  <w:r>
        <w:t>3.1. Под базой (сооружением) для стоянок маломерных судов (далее - база) в настоящих Правилах понимается находящийся в пользовании юридических или физических лиц комплекс береговых и гидротехнических сооружений, а также других специальных объектов, расположенных на берегу и акватории поверхностного водного объекта или его части (далее - территория базы) и предназначенных для стоянки, обслуживания и хранения маломерных судов и других плавсредств (объектов).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3.2. Юридические и физические лица, в пользовании которых находятся базы (сооружения) для стоянок маломерных судов, должны иметь документацию на образование базы, техническую документацию базы, укомплектованное аварийно-спасательное имущество и оборудование.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3.3. На территории базы располагаются предусмотренные технической документацией: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1) причальные сооружения;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2) служебные помещения;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площадки</w:t>
      </w:r>
      <w:proofErr w:type="gramEnd"/>
      <w:r>
        <w:t xml:space="preserve"> оборудованные контейнерами для бытовых отходов и емкостями для сбора отработанных горючих и смазочных материалов;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4) дороги и подъездные пути к стоянкам маломерных судов и объектам на берегу;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5) подъезд пожарных автомобилей к местам забора воды;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lastRenderedPageBreak/>
        <w:t>6) на базах вместимостью более 100 единиц маломерных судов должны предусматриваться станции заправки моторным топливом этих судов либо организовываться передвижные пункты заправки топливом с соблюдением требований по охране окружающей среды.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3.4. База должна иметь оборудование по локализации аварийных разливов нефтепродуктов на закрепленной акватории.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3.5. На территории базы оборудуются стенды с наглядными материалами по обеспечению безопасности и профилактике травматизма людей на водных объектах (выписки из нормативных правовых актов; расписания действий при пожаре на базе и спасании судов и людей, терпящих бедствие на акватории базы; схемы безопасного движения и маневрирования судов на акватории базы; телефоны подразделений Центра ГИМС по Камчатскому краю, пожарных, спасателей, скорой медицинской помощи и милиции; приемы оказания помощи судам и людям, терпящим бедствие на воде и др.).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3.6. Техническое оснащение и оборудование баз должно обеспечивать: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1) безопасность круглосуточной стоянки маломерных судов и их сохранность;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2) экологическую безопасность на территории базы (соблюдение природоохранных требований при осуществлении действий по заправке моторных судов топливом и выполнении судовладельцами профилактических, ремонтных, судоподъемных и иных работ, связанных с эксплуатацией объектов базы и маломерных судов);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3) пожарную безопасность на территории базы;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4) безопасность посадки и высадки людей, а также их передвижения по причальным сооружениям;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5) информирование судоводителей о гидрометеорологической и навигационной обстановке на водных объектах;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6) радиосвязь с приписанными к базе маломерными судами, на которых предусмотрены и установлены радиостанции, а также прием от них сигналов бедствия;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7) охрану водных объектов от загрязнения, засорения и истощения;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8) осуществление режима, предусматривающего контроль за выходом в плавание и возвращением на базу маломерных судов;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9) постоянную связь со спасательными подразделениями, органами внутренних дел, медицинскими учреждениями, подразделениями Центра ГИМС по Камчатскому краю.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3.7. На выступающих в сторону судового хода (фарватера) причалах, пирсах или иных сооружениях должны выставляться на высоте не менее 2 метров от настила белые огни, видимые по горизонту на 360° на расстоянии не менее 4 километров. Эти огни устанавливаются на торце каждого пирса, а на причале - на расстоянии друг от друга не более чем через 50 метров и должны гореть от захода до восхода солнца.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3.8. Затопленные в половодье (паводок) защитные устройства баз, а также иные препятствия, представляющие угрозу безопасности плавания судов, должны ограждаться соответствующими знаками судоходной (навигационной) обстановки.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3.9. Акватория базы и подходы к пирсам (причалам) по ширине подходов и глубинам должны обеспечивать безопасность маневрирования приписанных к данной базе судов с максимальными размерами и осадкой.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lastRenderedPageBreak/>
        <w:t>3.10. Причалы и пирсы, используемые для швартовки и стоянки судов, должны иметь: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1) прочно закрепленные швартовные устройства (кнехты, битенги, утки, рымы и др.) для надежного крепления судов при максимально неблагоприятных гидрометеоусловиях для данного района;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2) привальные брусья, кранцы и прочие приспособления, исключающие повреждение корпусов судов при их швартовке и стоянке;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3) надежное леерное ограждение высотой не менее 90 сантиметров при расстоянии между стойками не более 1,5 метров и между леерами - не более 45 сантиметров;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4) спасательный леер (по наружному периметру), закрепленный на расстоянии 10-15 сантиметров от уровня воды с интервалом между точками крепления не более 1,5 метров;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5) комплект из огнетушителя, ящика с песком и лопатой, кошмы и спасательного круга (конца Александрова) на каждые 50 метров причальной линии, но не менее одного комплекта на причал или пирс;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6) трапы, сходни, мостки для сообщения с берегом и между собой, обеспечивающие по ширине одновременный проход не менее двух человек и имеющие сплошной настил и леерное ограждение.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3.11. Сплошной настил на причалах, пирсах, трапах, сходнях и мостках должен быть рассчитан на максимальную нагрузку в условиях повседневной эксплуатации и ежегодно до начала навигации испытываться комиссией, создаваемой водопользователем (владельцем базы). Акт с результатами испытаний, подписанный членами комиссии и утвержденный ее председателем, представляется при техническом освидетельствовании базы.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3.12. Минимальная длина причального фронта по периметру причалов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3.13. Расстояние между судами при стоянке у причала (пирса) должно быть не менее 0,5 метров для гребных и не менее 1,0 метра - для моторных и парусных судов.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3.14. Плавучие причалы (понтоны, швартовые бочки) должны быть надежно закреплены к берегу или стоять на своих штатных местах с использованием мертвых якорей.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3.15. Сведения о маломерных судах заносятся в журнал учета приписного флота базы, заполняемый дежурным диспетчером, с указанием бортового номера, типа и названия (если имеется) судна, серии и номера судового билета, фамилии, имени, отчества судовладельца, его адреса жительства и телефонов, типа судовой радиостанции и радиочастоты.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Сведения о маломерных судах, прибывших на базу для временного базирования, также заносятся в соответствующий раздел журнала учета приписного флота базы, дополнительно указывается пункт основной приписки судна, планируемый и фактический срок убытия.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3.16. Должностным лицом ответственным за эксплуатацию базы устанавливается режим, предусматривающий контроль над выходом в плавание и возвращения на базу маломерных судов, их исправностью, наличием у судоводителей обязательных судовых и судоводительских документов, за соблюдением норм пассажировместимости и грузоподъемности, а также оповещение судоводителей о прогнозе погоды.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 xml:space="preserve">3.17. При выходе маломерного судна в плавание и его возвращении на базу дежурным диспетчером в журнале учета выхода (прихода) судов производится порядковая запись: бортовой </w:t>
      </w:r>
      <w:r>
        <w:lastRenderedPageBreak/>
        <w:t>номер судна, фамилия, имя, отчество судоводителя, дата и время выхода судна, цель и маршрут плавания, пункт назначения, фактическое время и дата возвращения на базу.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3.18. Выпуск маломерных судов с базы не производится в случаях: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1) не предъявления судоводителем удостоверения на право управления маломерным судном, судового билета с отметкой о прохождении ежегодного технического освидетельствования (осмотра);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2) отсутствия бортового номера или его несоответствия записям в судовом билете;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3) отсутствия у судоводителя документа на право пользования судном (при отсутствии на борту собственника судна или судовладельца);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4) обнаружения на судне неисправностей, с которыми запрещено его пользование;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5) отсутствия на судне указанных в судовом билете спасательных, противопожарных и водоотливных средств;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6) нарушения норм пассажировместимости и грузоподъемности;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7) если прогнозируемая и фактическая гидрометеообстановка на водоеме опасна для плавания судна данного типа;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8) нахождения судоводителя в состоянии опьянения;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9) размещения пассажиров (грузов), вызывающего опасный крен или дифферент;</w:t>
      </w:r>
    </w:p>
    <w:p w:rsidR="00DA567D" w:rsidRDefault="00DA567D">
      <w:pPr>
        <w:pStyle w:val="ConsPlusNormal"/>
        <w:jc w:val="both"/>
      </w:pPr>
      <w:r>
        <w:t xml:space="preserve">(п. 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30.06.2011 N 274-П)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10) наличия на судне взрывоопасных и огнеопасных грузов, если судно не предназначено (не приспособлено) для перевозки этих грузов или если их перевозка осуществляется совместно с пассажирами.</w:t>
      </w:r>
    </w:p>
    <w:p w:rsidR="00DA567D" w:rsidRDefault="00DA567D">
      <w:pPr>
        <w:pStyle w:val="ConsPlusNormal"/>
        <w:jc w:val="both"/>
      </w:pPr>
      <w:r>
        <w:t xml:space="preserve">(п. 10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30.06.2011 N 274-П)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В случае самовольного выхода маломерного судна в плавание с указанными выше нарушениями дежурный диспетчер сообщает в ближайшее подразделение Центра ГИМС по Камчатскому краю и делает соответствующую запись в журнале учета выхода (прихода) судов.</w:t>
      </w:r>
    </w:p>
    <w:p w:rsidR="00DA567D" w:rsidRDefault="00DA567D">
      <w:pPr>
        <w:pStyle w:val="ConsPlusNormal"/>
        <w:spacing w:before="220"/>
        <w:ind w:firstLine="540"/>
        <w:jc w:val="both"/>
      </w:pPr>
      <w:r>
        <w:t>3.19. Маломерные суда, прибывшие на базу в неисправном или аварийном состоянии, осматриваются с последующей краткой записью об их техническом состоянии в журнале выхода (прихода) судов. Информация об аварийных судах сообщается в ближайшее подразделение Центра ГИМС по Камчатскому краю.</w:t>
      </w:r>
    </w:p>
    <w:p w:rsidR="00DA567D" w:rsidRDefault="00DA567D">
      <w:pPr>
        <w:pStyle w:val="ConsPlusNormal"/>
        <w:jc w:val="both"/>
      </w:pPr>
      <w:r>
        <w:t xml:space="preserve">(часть 3.19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03.06.2014 N 247-П)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jc w:val="center"/>
        <w:outlineLvl w:val="1"/>
      </w:pPr>
      <w:r>
        <w:t>4. Плавание на маломерных судах</w:t>
      </w:r>
    </w:p>
    <w:p w:rsidR="00DA567D" w:rsidRDefault="00DA567D">
      <w:pPr>
        <w:pStyle w:val="ConsPlusNormal"/>
        <w:jc w:val="center"/>
      </w:pPr>
      <w:r>
        <w:t>в Авачинской губе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  <w:r>
        <w:t>4.1. Плавание на маломерных судах в Авачинской губе определяется "Правилами плавания судов в Авачинской губе и на подходах к ней" утвержденными Государственным управлением навигации и океанографии Министерства обороны Российской Федерации от 25.09.2004 выпуск N 10 "Извещение к мореплавателям Гидрографической службой Тихоокеанского флота".</w:t>
      </w: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ind w:firstLine="540"/>
        <w:jc w:val="both"/>
      </w:pPr>
    </w:p>
    <w:p w:rsidR="00DA567D" w:rsidRDefault="00DA5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06D" w:rsidRDefault="0070606D">
      <w:bookmarkStart w:id="1" w:name="_GoBack"/>
      <w:bookmarkEnd w:id="1"/>
    </w:p>
    <w:sectPr w:rsidR="0070606D" w:rsidSect="0075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7D"/>
    <w:rsid w:val="0070606D"/>
    <w:rsid w:val="00D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036E-9020-4FBD-9CBD-A833F11A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C9837BD53FDDA0D2C29724DF2C624D047F9ED91D87CE351E097D5B9A8C2805FF332486401B0813FA63FW0DED" TargetMode="External"/><Relationship Id="rId13" Type="http://schemas.openxmlformats.org/officeDocument/2006/relationships/hyperlink" Target="consultantplus://offline/ref=2D5C9837BD53FDDA0D2C29724DF2C624D047F9ED91D871E25EE097D5B9A8C2805FF332486401B0813FA63FW0DED" TargetMode="External"/><Relationship Id="rId18" Type="http://schemas.openxmlformats.org/officeDocument/2006/relationships/hyperlink" Target="consultantplus://offline/ref=2D5C9837BD53FDDA0D2C29724DF2C624D047F9ED91D87CE351E097D5B9A8C2805FF332486401B0813FA63FW0D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5C9837BD53FDDA0D2C29724DF2C624D047F9ED91D87CE351E097D5B9A8C2805FF332486401B0813FA63EW0DCD" TargetMode="External"/><Relationship Id="rId7" Type="http://schemas.openxmlformats.org/officeDocument/2006/relationships/hyperlink" Target="consultantplus://offline/ref=2D5C9837BD53FDDA0D2C29724DF2C624D047F9ED91D871E25EE097D5B9A8C2805FF332486401B0813FA63FW0DED" TargetMode="External"/><Relationship Id="rId12" Type="http://schemas.openxmlformats.org/officeDocument/2006/relationships/hyperlink" Target="consultantplus://offline/ref=2D5C9837BD53FDDA0D2C29724DF2C624D047F9ED91D675E25FE097D5B9A8C2805FF332486401B0813FA63FW0DED" TargetMode="External"/><Relationship Id="rId17" Type="http://schemas.openxmlformats.org/officeDocument/2006/relationships/hyperlink" Target="consultantplus://offline/ref=2D5C9837BD53FDDA0D2C377F5B9E9A20DF4DA2E096DA22BB0DE6C08AE9AE97C01FF5670B200CB1W8D8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5C9837BD53FDDA0D2C377F5B9E9A20D749A3E492D37FB105BFCC88EEWAD1D" TargetMode="External"/><Relationship Id="rId20" Type="http://schemas.openxmlformats.org/officeDocument/2006/relationships/hyperlink" Target="consultantplus://offline/ref=2D5C9837BD53FDDA0D2C29724DF2C624D047F9ED91D87CE351E097D5B9A8C2805FF332486401B0813FA63EW0D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C9837BD53FDDA0D2C29724DF2C624D047F9ED91D675E25FE097D5B9A8C2805FF332486401B0813FA63FW0DED" TargetMode="External"/><Relationship Id="rId11" Type="http://schemas.openxmlformats.org/officeDocument/2006/relationships/hyperlink" Target="consultantplus://offline/ref=2D5C9837BD53FDDA0D2C29724DF2C624D047F9ED91D175E55EE097D5B9A8C2805FF332486401B0813FA63FW0DE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5C9837BD53FDDA0D2C29724DF2C624D047F9ED91D175E55EE097D5B9A8C2805FF332486401B0813FA63FW0DED" TargetMode="External"/><Relationship Id="rId15" Type="http://schemas.openxmlformats.org/officeDocument/2006/relationships/hyperlink" Target="consultantplus://offline/ref=2D5C9837BD53FDDA0D2C377F5B9E9A20D748AFE593D97FB105BFCC88EEWAD1D" TargetMode="External"/><Relationship Id="rId23" Type="http://schemas.openxmlformats.org/officeDocument/2006/relationships/hyperlink" Target="consultantplus://offline/ref=2D5C9837BD53FDDA0D2C29724DF2C624D047F9ED91D271E45CECCADFB1F1CE8258FC6D5F6348BC803FA63F08W6D9D" TargetMode="External"/><Relationship Id="rId10" Type="http://schemas.openxmlformats.org/officeDocument/2006/relationships/hyperlink" Target="consultantplus://offline/ref=2D5C9837BD53FDDA0D2C377F5B9E9A20D748AFE593D97FB105BFCC88EEA1C8D718BC6B0A200CB385W3D6D" TargetMode="External"/><Relationship Id="rId19" Type="http://schemas.openxmlformats.org/officeDocument/2006/relationships/hyperlink" Target="consultantplus://offline/ref=2D5C9837BD53FDDA0D2C377F5B9E9A20D24DA0E395DA22BB0DE6C08AE9AE97C01FF5670B200CB0W8D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5C9837BD53FDDA0D2C29724DF2C624D047F9ED91D271E45CECCADFB1F1CE8258FC6D5F6348BC803FA63F08W6D9D" TargetMode="External"/><Relationship Id="rId14" Type="http://schemas.openxmlformats.org/officeDocument/2006/relationships/hyperlink" Target="consultantplus://offline/ref=2D5C9837BD53FDDA0D2C29724DF2C624D047F9ED91D87CE351E097D5B9A8C2805FF332486401B0813FA63FW0DED" TargetMode="External"/><Relationship Id="rId22" Type="http://schemas.openxmlformats.org/officeDocument/2006/relationships/hyperlink" Target="consultantplus://offline/ref=2D5C9837BD53FDDA0D2C29724DF2C624D047F9ED91D87CE351E097D5B9A8C2805FF332486401B0813FA63EW0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2017-07-11T03:03:00Z</dcterms:created>
  <dcterms:modified xsi:type="dcterms:W3CDTF">2017-07-11T03:03:00Z</dcterms:modified>
</cp:coreProperties>
</file>