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01/06/03-17/00005204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27.03.2017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хозяйство и охраны животного мира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получение права на добычу водоплавающей дичи (разрешенные к добыче виды уток и гусей) в неблагоприятное для охоты время.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Федерации»;Федеральный закон от 24.04.1995 № 52-ФЗ «О животном мире»; Правила охоты, утвержденные приказом Минприроды России от 16.11.2010 № 512;  обращение Главы Усть-Камчатского муниципального района от 10.03.2017 № 81 «Об изменении сроков охоты» по вопросу пересмотра сроков открытия весенней охоты на водоплавающую дичь в охотугодьях районного общества охотников и рыболовов;   обращение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МОО «Ключевское общество охотников и рыболовов» от 20.01.2017 № 4/17 с ходатайством Главы пос. Ключи от 24.01.2017 по вопросу пересмотра сроков открытия весенней охоты на водоплавающую дичь в охотугодьях местной общественной организации охотников и рыболовов;  обращение ООО «Ключевское ОПХ» от 16.01.2017 № б/н по вопросу пересмотра сроков открытия весенней охоты на водоплавающую дичь в охотугодьях Усть-Камчатского района в бывших границах Ключевского производственного участка;   обращение охотпользователей Корякского округа (Паланское общество охотников и рыболовов, ООО «Рысь», ООО «Селинг») по переносу сроков проведения весенней охоты на перелетную дичь в районах Корякского округа на более ранние.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сохранение и рациональное использование охотничьих ресурсов и среды их обитания; оптимизация параметров охоты на некоторые охотничьи ресурсы (водоплавающая дичь) на территориях Усть-Камчатского района и Корякского округа Камчатского края.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корректировка сроков весенней охоты на водоплавающую дичь на территориях Усть-Камчатского района и Корякского округа Камчатского края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Гайчева Ольга Николаевна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25-83-76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gaichevaon@kamgov.ru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Корректирование сроков весенней охоты на водоплавающую дичь обусловлено существенными изменениями климатических условий весны, наблюдаемыми в последние годы в северной части полуострова и в материковой части Камчатского края (выраженное увеличение среднесуточной температуры, раннее снеготаяние  и половодье).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ограничения прав охотпользователей на осуществление охоты в охотничьих угодьях Усть-Камчатского района и Корякского округа.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Большое количество обращений охотпользователей Усть-Камчатского района и Корякского округа по вопросу о пересмотре сроков открытия весенней охоты на водоплавающую дичь, что обусловлено изменениями климатических условий весны.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охоты, утвержденные приказом Минприроды России от 16.11.2010 № 512;обращение Главы Усть-Камчатского муниципального района от 10.03.2017 № 81 «Об изменении сроков охоты» по вопросу пересмотра сроков открытия весенней охоты на водоплавающую дичь в охотугодьях районного общества охотников и рыболовов; обращение МОО «Ключевское общество охотников и рыболовов» от 20.01.2017 № 4/17 с ходатайством Главы пос. Ключи от 24.01.2017 по вопросу пересмотра сроков открытия весенней охоты на водоплавающую дичь в охотугодьях местной общественной организации охотников и рыболовов; обращение ООО «Ключевское ОПХ» от 16.01.2017 № б/н по вопросу пересмотра сроков открытия весенней охоты на водоплавающую дичь в охотугодьях Усть-Камчатского района в бывших границах Ключевского производственного участка;  обращение охотпользователей Корякского округа (Паланское общество охотников и рыболовов, ООО «Рысь», ООО «Селинг») по переносу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сроков проведения весенней охоты на перелетную дичь в районах Корякского округа на более ранние.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A07A2A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A2A">
              <w:rPr>
                <w:rFonts w:ascii="Times New Roman" w:hAnsi="Times New Roman" w:cs="Times New Roman"/>
                <w:sz w:val="28"/>
                <w:szCs w:val="28"/>
              </w:rPr>
              <w:t>сохранение и рациональное использование охотничьих ресурсов и среды их обитания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A2A">
              <w:rPr>
                <w:rFonts w:ascii="Times New Roman" w:hAnsi="Times New Roman" w:cs="Times New Roman"/>
                <w:sz w:val="28"/>
                <w:szCs w:val="28"/>
              </w:rPr>
              <w:t>оптимизация параметров охоты на водоплавающую дичь на территории Усть-Камчатского района Камчатского края.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05.05.2017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соответствуют Стратегии развития охотничьего хозяйства в Российской Федерации до 2030 года, утвержденной распоряжением Правительства РФ от 03.07.2014 № 1216-р, а именно в части совершенствования параметров осуществления охоты.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корректировка сроков весенней охоты на водоплавающую дичь на территориях Усть-Камчатского района и Корякского округа, может быть осуществлена только посредством издания постановления Губернатора Камчатского края, вносящего изменения в параметры охоты. Внесение изменений в параметры охоты не всегда учитывает интересы всех охотпользователей, однако в данном случае учтены требования Правил охоты, данные государственного мониторинга, обращения охотпользователей Усть-Камчатского района и Корякского округа. Нормы проекта постановления разработаны с соблюдением баланса интересов между государством и охотпользователями.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Корректирование сроков весенней охоты на водоплавающую дичь с учетом интересов местного населения, проживающего на территории Усть-Камчатского района и Корякского округа, как следствие получением права на добычу в благоприятное для охоты время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A2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осуществляющие охотхозяйственную деятельность на основании охотхозяйственных </w:t>
            </w:r>
            <w:r w:rsidRPr="00A07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или долгосрочных лицензий на право пользования животным миром (далее – охотпользователи) на территориях Усть-Камчатского района и Корякского округа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60 юридических лиц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A07A2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A07A2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Выписка из Государственного охотхозяйственного реестра Камчатского края по состоянию на 24.03.2017.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A07A2A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2A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A07A2A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A07A2A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2A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A07A2A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2A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714902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4243"/>
        <w:gridCol w:w="2963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A07A2A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Усть-Камчатского района и Корякского округа</w:t>
            </w:r>
          </w:p>
        </w:tc>
        <w:tc>
          <w:tcPr>
            <w:tcW w:w="2355" w:type="pct"/>
          </w:tcPr>
          <w:p w:rsidR="006862D4" w:rsidRPr="00A07A2A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изменились, новые не возникли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A07A2A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Усть-Камчатского района и Корякского округа</w:t>
            </w:r>
          </w:p>
        </w:tc>
        <w:tc>
          <w:tcPr>
            <w:tcW w:w="1667" w:type="pct"/>
          </w:tcPr>
          <w:p w:rsidR="00DC0C29" w:rsidRPr="00A07A2A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изменились, новые не возникли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расходов - нет, увеличение доходов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охотничьих ресурсов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04.05.2017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1"/>
        <w:gridCol w:w="7241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 xml:space="preserve">. Сведения о проведении публичного обсуждения проекта нормативного правового акта, сроках его проведения, исполнительных органов </w:t>
      </w:r>
      <w:r w:rsidR="00043567" w:rsidRPr="005B51C0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А.В. Лебедько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06C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D4" w:rsidRDefault="004E6FD4" w:rsidP="00EA7CC1">
      <w:pPr>
        <w:spacing w:after="0" w:line="240" w:lineRule="auto"/>
      </w:pPr>
      <w:r>
        <w:separator/>
      </w:r>
    </w:p>
  </w:endnote>
  <w:endnote w:type="continuationSeparator" w:id="0">
    <w:p w:rsidR="004E6FD4" w:rsidRDefault="004E6FD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D4" w:rsidRDefault="004E6FD4" w:rsidP="00EA7CC1">
      <w:pPr>
        <w:spacing w:after="0" w:line="240" w:lineRule="auto"/>
      </w:pPr>
      <w:r>
        <w:separator/>
      </w:r>
    </w:p>
  </w:footnote>
  <w:footnote w:type="continuationSeparator" w:id="0">
    <w:p w:rsidR="004E6FD4" w:rsidRDefault="004E6FD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36A06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4E6FD4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A2A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380E-35F6-4E7A-AFE1-10A8A04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46AB-A717-400B-AAA6-98C25904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2016-08-14T22:12:00Z</cp:lastPrinted>
  <dcterms:created xsi:type="dcterms:W3CDTF">2017-03-29T03:45:00Z</dcterms:created>
  <dcterms:modified xsi:type="dcterms:W3CDTF">2017-03-29T03:45:00Z</dcterms:modified>
</cp:coreProperties>
</file>