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</w:rPr>
      </w:pPr>
      <w:r>
        <w:rPr>
          <w:noProof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4E2A3B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МИКР</w:t>
      </w:r>
      <w:r w:rsidR="00AC40D8">
        <w:rPr>
          <w:rFonts w:ascii="Times New Roman" w:eastAsia="Times New Roman" w:hAnsi="Times New Roman" w:cs="Times New Roman"/>
          <w:b/>
          <w:bCs/>
          <w:sz w:val="24"/>
          <w:szCs w:val="24"/>
        </w:rPr>
        <w:t>ОЗАЙМЫ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ПРЕДПРИНИМАТЕЛЬСТВА </w:t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(СМСП)</w:t>
      </w:r>
      <w:r w:rsidR="004E2A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И</w:t>
      </w:r>
      <w:r w:rsidR="00AC40D8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4E2A3B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ВЕСТИЦИОННЫЕ ЦЕЛИ</w:t>
      </w:r>
    </w:p>
    <w:p w:rsidR="0029617F" w:rsidRPr="00115FEA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2"/>
        <w:gridCol w:w="9900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C27A2" w:rsidRDefault="005C27A2" w:rsidP="005C27A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6B1F74" w:rsidRPr="005F0A61" w:rsidRDefault="006D07FD" w:rsidP="005C27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5C27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C27A2" w:rsidRPr="005C27A2" w:rsidRDefault="00E61D92" w:rsidP="00536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 w:rsidRPr="005F0A61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Pr="005F0A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 w:rsidR="005F0A61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средства </w:t>
            </w:r>
            <w:proofErr w:type="spellStart"/>
            <w:r w:rsidR="00BF36B8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="00536752">
              <w:rPr>
                <w:rFonts w:ascii="Times New Roman" w:hAnsi="Times New Roman" w:cs="Times New Roman"/>
                <w:sz w:val="24"/>
                <w:szCs w:val="24"/>
              </w:rPr>
              <w:t>кредитной</w:t>
            </w:r>
            <w:proofErr w:type="spellEnd"/>
            <w:r w:rsidR="00BF36B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 w:rsidR="005F0A61"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5F0A61" w:rsidRDefault="00B4635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4E2A3B" w:rsidRPr="004E2A3B">
              <w:rPr>
                <w:rFonts w:ascii="Times New Roman" w:hAnsi="Times New Roman" w:cs="Times New Roman"/>
                <w:sz w:val="24"/>
                <w:szCs w:val="24"/>
              </w:rPr>
              <w:t>не более 3-х млн. рублей</w:t>
            </w:r>
          </w:p>
          <w:p w:rsidR="004E2A3B" w:rsidRPr="005F0A61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3B" w:rsidRDefault="00BF36B8" w:rsidP="005C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  <w:r w:rsidR="005F0A61"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A3B" w:rsidRPr="005F0A61">
              <w:rPr>
                <w:rFonts w:ascii="Times New Roman" w:hAnsi="Times New Roman" w:cs="Times New Roman"/>
                <w:sz w:val="24"/>
                <w:szCs w:val="24"/>
              </w:rPr>
              <w:t>годовых для СМСП, осуществляющих проекты в сфере сельского хозяйства;</w:t>
            </w:r>
          </w:p>
          <w:p w:rsidR="004E2A3B" w:rsidRDefault="004E2A3B" w:rsidP="005C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12% годовых для СМСП, осуществляющих проекты в сфере производства;</w:t>
            </w:r>
          </w:p>
          <w:p w:rsidR="00B07FE9" w:rsidRPr="005F0A61" w:rsidRDefault="004E2A3B" w:rsidP="005C27A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F0A61"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годовых для СМСП, осуществляющих проекты в сфере услуг.</w:t>
            </w:r>
          </w:p>
          <w:p w:rsidR="00B07FE9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A3B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4E2A3B">
              <w:rPr>
                <w:rFonts w:ascii="Times New Roman" w:hAnsi="Times New Roman" w:cs="Times New Roman"/>
                <w:sz w:val="24"/>
                <w:szCs w:val="24"/>
              </w:rPr>
              <w:t xml:space="preserve"> – на остаток задолженности</w:t>
            </w:r>
          </w:p>
          <w:p w:rsidR="005C27A2" w:rsidRPr="005F0A61" w:rsidRDefault="005C27A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E2A3B" w:rsidRPr="005F0A61" w:rsidRDefault="00B46352" w:rsidP="005C27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 w:rsidR="006D0100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</w:t>
            </w:r>
            <w:r w:rsidR="00E150D0">
              <w:rPr>
                <w:rFonts w:ascii="Times New Roman" w:hAnsi="Times New Roman" w:cs="Times New Roman"/>
                <w:sz w:val="24"/>
                <w:szCs w:val="24"/>
              </w:rPr>
              <w:t xml:space="preserve">СМСП, осуществляющие </w:t>
            </w:r>
            <w:r w:rsidR="004E2A3B" w:rsidRPr="004E2A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(проекты) в сфере сельского хозяйства, производства, оказания услуг 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B07FE9" w:rsidRPr="006B1F74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E2A3B" w:rsidRPr="004E2A3B">
              <w:rPr>
                <w:rFonts w:ascii="Times New Roman" w:hAnsi="Times New Roman" w:cs="Times New Roman"/>
                <w:sz w:val="24"/>
                <w:szCs w:val="24"/>
              </w:rPr>
              <w:t>– 5 лет</w:t>
            </w:r>
          </w:p>
          <w:p w:rsidR="00B07FE9" w:rsidRPr="005F0A61" w:rsidRDefault="00B07FE9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поручительство и (или) залог имущества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5F0A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5F0A61" w:rsidRDefault="0029617F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  <w:r w:rsidRPr="005F0A61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Условия получения:</w:t>
            </w:r>
          </w:p>
          <w:p w:rsidR="004E2A3B" w:rsidRPr="005F0A61" w:rsidRDefault="004E2A3B" w:rsidP="005C27A2">
            <w:pPr>
              <w:pStyle w:val="a5"/>
              <w:numPr>
                <w:ilvl w:val="0"/>
                <w:numId w:val="2"/>
              </w:numPr>
              <w:tabs>
                <w:tab w:val="left" w:pos="262"/>
              </w:tabs>
              <w:spacing w:after="0" w:line="240" w:lineRule="auto"/>
              <w:ind w:left="262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срок с момента государственной регистрации СМСП составляет более 1 года</w:t>
            </w:r>
          </w:p>
          <w:p w:rsidR="004E2A3B" w:rsidRPr="005F0A61" w:rsidRDefault="004E2A3B" w:rsidP="005C27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8" w:hanging="426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обеспечения </w:t>
            </w:r>
            <w:proofErr w:type="spellStart"/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</w:p>
          <w:p w:rsidR="004E2A3B" w:rsidRPr="005F0A61" w:rsidRDefault="004E2A3B" w:rsidP="005C27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688" w:hanging="426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подтверждение целевого использования собственных средств</w:t>
            </w:r>
          </w:p>
          <w:p w:rsidR="0029617F" w:rsidRPr="005F0A61" w:rsidRDefault="004E2A3B" w:rsidP="005C27A2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2" w:firstLine="0"/>
              <w:jc w:val="both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5F0A61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платежам в бюджеты всех уровней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5F0A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</w:pPr>
          </w:p>
          <w:p w:rsidR="0029617F" w:rsidRPr="006B1F74" w:rsidRDefault="0029617F" w:rsidP="005C2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Нормативно-правовое обеспечение:</w:t>
            </w:r>
          </w:p>
          <w:p w:rsidR="005C27A2" w:rsidRPr="005F0A61" w:rsidRDefault="007F61C8" w:rsidP="00BF36B8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bookmarkStart w:id="0" w:name="_GoBack"/>
            <w:proofErr w:type="spellStart"/>
            <w:r w:rsidR="00124C19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BF36B8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BF36B8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(Протокол от </w:t>
            </w:r>
            <w:r w:rsidR="00BF36B8">
              <w:rPr>
                <w:rFonts w:ascii="Times New Roman" w:hAnsi="Times New Roman" w:cs="Times New Roman"/>
                <w:sz w:val="23"/>
                <w:szCs w:val="23"/>
              </w:rPr>
              <w:t>14.03.2017)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 размещены на главной странице с</w:t>
            </w:r>
            <w:r w:rsidR="00BF36B8">
              <w:rPr>
                <w:rFonts w:ascii="Times New Roman" w:hAnsi="Times New Roman" w:cs="Times New Roman"/>
                <w:sz w:val="23"/>
                <w:szCs w:val="23"/>
              </w:rPr>
              <w:t xml:space="preserve">айта </w:t>
            </w:r>
            <w:proofErr w:type="spellStart"/>
            <w:r w:rsidR="00BF36B8">
              <w:rPr>
                <w:rFonts w:ascii="Times New Roman" w:hAnsi="Times New Roman" w:cs="Times New Roman"/>
                <w:sz w:val="23"/>
                <w:szCs w:val="23"/>
              </w:rPr>
              <w:t>Микрокредитной</w:t>
            </w:r>
            <w:proofErr w:type="spellEnd"/>
            <w:r w:rsidR="00BF36B8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</w:t>
            </w:r>
            <w:r w:rsidR="00124C19">
              <w:rPr>
                <w:rFonts w:ascii="Times New Roman" w:hAnsi="Times New Roman" w:cs="Times New Roman"/>
                <w:sz w:val="23"/>
                <w:szCs w:val="23"/>
              </w:rPr>
              <w:t xml:space="preserve"> Камчатский государственный </w:t>
            </w:r>
            <w:bookmarkEnd w:id="0"/>
            <w:r w:rsidR="00124C19">
              <w:rPr>
                <w:rFonts w:ascii="Times New Roman" w:hAnsi="Times New Roman" w:cs="Times New Roman"/>
                <w:sz w:val="23"/>
                <w:szCs w:val="23"/>
              </w:rPr>
              <w:t>фонд поддержки предпринимательства</w:t>
            </w:r>
          </w:p>
        </w:tc>
      </w:tr>
      <w:tr w:rsidR="000C6F29" w:rsidRPr="00536752" w:rsidTr="0029617F">
        <w:tc>
          <w:tcPr>
            <w:tcW w:w="0" w:type="auto"/>
            <w:vAlign w:val="center"/>
          </w:tcPr>
          <w:p w:rsidR="000C6F29" w:rsidRDefault="00115FEA" w:rsidP="005F0A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C27A2" w:rsidRDefault="005C27A2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</w:p>
          <w:p w:rsidR="006B1F74" w:rsidRPr="006B1F74" w:rsidRDefault="006B1F74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5C27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Микро</w:t>
            </w:r>
            <w:r w:rsidR="00BF36B8">
              <w:rPr>
                <w:rFonts w:ascii="Times New Roman" w:hAnsi="Times New Roman" w:cs="Times New Roman"/>
                <w:b/>
                <w:sz w:val="24"/>
                <w:szCs w:val="24"/>
              </w:rPr>
              <w:t>кредитная</w:t>
            </w:r>
            <w:proofErr w:type="spellEnd"/>
            <w:r w:rsidR="00BF3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 </w:t>
            </w: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6B1F74" w:rsidRPr="006B1F74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. 306, 308, 311.</w:t>
            </w:r>
          </w:p>
          <w:p w:rsidR="006B1F74" w:rsidRPr="006B1F74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телефон:</w:t>
            </w:r>
            <w:r w:rsidRPr="006B1F74">
              <w:rPr>
                <w:rFonts w:ascii="Times New Roman" w:hAnsi="Times New Roman" w:cs="Times New Roman"/>
                <w:sz w:val="24"/>
                <w:szCs w:val="24"/>
              </w:rPr>
              <w:t>(4152) 27-09-36, 22-16-75. Факс: (4152) 22-16-75.</w:t>
            </w:r>
          </w:p>
          <w:p w:rsidR="006B1F74" w:rsidRPr="00E150D0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E150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1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E15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1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E150D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proofErr w:type="spellEnd"/>
              <w:r w:rsidRPr="00E150D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E150D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6B1F74" w:rsidRPr="00E150D0" w:rsidRDefault="006B1F74" w:rsidP="005C2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E150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B1F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proofErr w:type="spellEnd"/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E150D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15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F29" w:rsidRPr="00E150D0" w:rsidRDefault="00E150D0" w:rsidP="005C27A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5" w:history="1"/>
          </w:p>
        </w:tc>
      </w:tr>
    </w:tbl>
    <w:p w:rsidR="003245F7" w:rsidRPr="00E150D0" w:rsidRDefault="003245F7" w:rsidP="00542B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</w:rPr>
      </w:pPr>
    </w:p>
    <w:sectPr w:rsidR="003245F7" w:rsidRPr="00E150D0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73A"/>
    <w:multiLevelType w:val="hybridMultilevel"/>
    <w:tmpl w:val="1DE07D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067EE"/>
    <w:multiLevelType w:val="hybridMultilevel"/>
    <w:tmpl w:val="EBD60E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098F"/>
    <w:multiLevelType w:val="multilevel"/>
    <w:tmpl w:val="61C8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57B3418"/>
    <w:multiLevelType w:val="hybridMultilevel"/>
    <w:tmpl w:val="C4D6DD8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24C19"/>
    <w:rsid w:val="001557D1"/>
    <w:rsid w:val="00161837"/>
    <w:rsid w:val="001810D5"/>
    <w:rsid w:val="001E5E17"/>
    <w:rsid w:val="00205331"/>
    <w:rsid w:val="00271349"/>
    <w:rsid w:val="0029617F"/>
    <w:rsid w:val="002D429C"/>
    <w:rsid w:val="002E4989"/>
    <w:rsid w:val="003245F7"/>
    <w:rsid w:val="00371A47"/>
    <w:rsid w:val="003D13DD"/>
    <w:rsid w:val="00472523"/>
    <w:rsid w:val="004E2A3B"/>
    <w:rsid w:val="00536752"/>
    <w:rsid w:val="00542B83"/>
    <w:rsid w:val="005C27A2"/>
    <w:rsid w:val="005F0A61"/>
    <w:rsid w:val="0062407B"/>
    <w:rsid w:val="006B1F74"/>
    <w:rsid w:val="006D0100"/>
    <w:rsid w:val="006D07FD"/>
    <w:rsid w:val="00777900"/>
    <w:rsid w:val="007F61C8"/>
    <w:rsid w:val="00965C30"/>
    <w:rsid w:val="00A6021A"/>
    <w:rsid w:val="00AB2D62"/>
    <w:rsid w:val="00AC40D8"/>
    <w:rsid w:val="00B07FE9"/>
    <w:rsid w:val="00B46352"/>
    <w:rsid w:val="00B601C6"/>
    <w:rsid w:val="00B9048F"/>
    <w:rsid w:val="00BC6C68"/>
    <w:rsid w:val="00BF318A"/>
    <w:rsid w:val="00BF36B8"/>
    <w:rsid w:val="00CF38E3"/>
    <w:rsid w:val="00CF45B6"/>
    <w:rsid w:val="00D24FE6"/>
    <w:rsid w:val="00D6634F"/>
    <w:rsid w:val="00D964CE"/>
    <w:rsid w:val="00DE2C56"/>
    <w:rsid w:val="00E14C5C"/>
    <w:rsid w:val="00E150D0"/>
    <w:rsid w:val="00E57A07"/>
    <w:rsid w:val="00E61D92"/>
    <w:rsid w:val="00E85D47"/>
    <w:rsid w:val="00EB78A8"/>
    <w:rsid w:val="00F57A83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59C92-90DD-4079-B695-64603924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A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info@kam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Mr.President</dc:creator>
  <cp:lastModifiedBy>Нусалова Анна Александровна</cp:lastModifiedBy>
  <cp:revision>6</cp:revision>
  <dcterms:created xsi:type="dcterms:W3CDTF">2017-02-01T06:29:00Z</dcterms:created>
  <dcterms:modified xsi:type="dcterms:W3CDTF">2017-03-16T23:30:00Z</dcterms:modified>
</cp:coreProperties>
</file>