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29617F" w:rsidRDefault="00CB5CFA" w:rsidP="004F2A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ГРАНТЫ НАЧИНАЮЩИМ </w:t>
      </w:r>
      <w:r w:rsidR="009811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СУБЪЕКТАМ </w:t>
      </w:r>
      <w:r w:rsidR="00020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МАЛОГО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ПРЕДПРИНИМАТЕЛЬСТВА (СМ</w:t>
      </w:r>
      <w:r w:rsidR="003245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СОЗДАНИЕ СОБСТВЕННОГО БИЗНЕСА</w:t>
      </w:r>
    </w:p>
    <w:p w:rsidR="00C35894" w:rsidRPr="00115FEA" w:rsidRDefault="00C35894" w:rsidP="00115F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9716"/>
      </w:tblGrid>
      <w:tr w:rsidR="00B601C6" w:rsidTr="0029617F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 w:rsidRPr="002D429C">
              <w:rPr>
                <w:rFonts w:ascii="Times New Roman" w:eastAsia="Times New Roman" w:hAnsi="Times New Roman" w:cs="Times New Roman"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127E51D" wp14:editId="028D6DAE">
                  <wp:extent cx="514895" cy="586740"/>
                  <wp:effectExtent l="0" t="0" r="0" b="3810"/>
                  <wp:docPr id="3" name="Рисунок 3" descr="http://aginvest.kamgov.ru/files/5848e56ae8c846.8191859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aginvest.kamgov.ru/files/5848e56ae8c846.8191859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512" cy="58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F17D8" w:rsidRPr="00CB5CFA" w:rsidRDefault="006D07FD" w:rsidP="006B1F7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Цель 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финансирование расходов, связанных с созданием собственного бизнеса, </w:t>
            </w:r>
            <w:r w:rsidR="00CB5CFA" w:rsidRPr="00CB5CFA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 исключением следующих  расходов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: выплата заработной платы, уплата страховых взносов расчеты с бюджетом по налогам, сборам и взносам, погашение кредитов, займов, комиссий, процентов, лизинговых платежей, приобретение легковых автомобилей,</w:t>
            </w:r>
            <w:r w:rsid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CB5CFA"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приобретение помещений, не предназначенных для ведения предпринимательской деятельности, в том числе жилых, приобретение земельных участков, не предназначенных для ведения предпринимательской деятельности, приобретение товаров, предназначенных для последующей реализации (перепродажи)</w:t>
            </w:r>
          </w:p>
        </w:tc>
      </w:tr>
      <w:tr w:rsidR="00B601C6" w:rsidTr="0029617F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6B569CE" wp14:editId="78A8C326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DA37BF" w:rsidRDefault="00DA37BF" w:rsidP="00DA37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</w:rPr>
              <w:t>Источники финансирования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средства </w:t>
            </w:r>
            <w:r w:rsidR="0098111E">
              <w:rPr>
                <w:rFonts w:ascii="Times New Roman" w:hAnsi="Times New Roman" w:cs="Times New Roman"/>
                <w:sz w:val="24"/>
                <w:szCs w:val="24"/>
              </w:rPr>
              <w:t>краевого бюджета</w:t>
            </w:r>
          </w:p>
          <w:p w:rsidR="00DA37BF" w:rsidRDefault="00DA37BF" w:rsidP="00DA37B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Государственная программа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Камчатского края»</w:t>
            </w:r>
          </w:p>
          <w:p w:rsidR="00D30FD2" w:rsidRPr="007F17D8" w:rsidRDefault="00DA37BF" w:rsidP="00DA37BF">
            <w:pPr>
              <w:spacing w:after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</w:rPr>
              <w:t>Подпрограмма 2 –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предпринимательства»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6D07FD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B07FE9" w:rsidRDefault="00B46352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Размер 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</w:t>
            </w:r>
            <w:r w:rsidRPr="006B1F74">
              <w:rPr>
                <w:sz w:val="24"/>
                <w:szCs w:val="24"/>
              </w:rPr>
              <w:t xml:space="preserve"> </w:t>
            </w:r>
            <w:r w:rsidR="00020B6B" w:rsidRPr="00020B6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не более 500 тыс. руб. на одного СМСП</w:t>
            </w:r>
          </w:p>
          <w:p w:rsidR="00020B6B" w:rsidRPr="00D30FD2" w:rsidRDefault="00020B6B" w:rsidP="00020B6B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B46352" w:rsidP="00B07FE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F7704" w:rsidRDefault="00B46352" w:rsidP="004F2AC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Получатели</w:t>
            </w:r>
            <w:r w:rsidRPr="006B1F74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  <w:p w:rsidR="007F17D8" w:rsidRPr="00CB5CFA" w:rsidRDefault="007F17D8" w:rsidP="007F17D8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17D8">
              <w:rPr>
                <w:rFonts w:ascii="Times New Roman" w:hAnsi="Times New Roman" w:cs="Times New Roman"/>
                <w:sz w:val="24"/>
                <w:szCs w:val="24"/>
              </w:rPr>
              <w:t xml:space="preserve">СМСП в соответствии с ФЗ от 24.07.2007 № 209-ФЗ «О развитии малого и среднего предпринимательства в Российской Федерации» </w:t>
            </w:r>
          </w:p>
          <w:p w:rsidR="00CB5CFA" w:rsidRDefault="00CB5CFA" w:rsidP="00CB5CFA">
            <w:pPr>
              <w:pStyle w:val="a6"/>
              <w:numPr>
                <w:ilvl w:val="0"/>
                <w:numId w:val="6"/>
              </w:numPr>
              <w:ind w:left="208" w:hanging="142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срок с момента государственной регистрации СМП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составляет менее 1 года</w:t>
            </w:r>
          </w:p>
          <w:p w:rsidR="00D30FD2" w:rsidRPr="00CB5CFA" w:rsidRDefault="00D30FD2" w:rsidP="00CB5CF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Pr="00020B6B" w:rsidRDefault="0029617F" w:rsidP="00020B6B">
            <w:p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020B6B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Условия получения</w:t>
            </w:r>
            <w:r w:rsidR="00CA16A5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:</w:t>
            </w:r>
          </w:p>
          <w:p w:rsid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грант предоставляется на расходы, связанные с созданием собственного бизнеса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у индивидуального предпринимателя или учредителя юридического лица высшего экономического или юридического образования либо документа, подтверждающего прохождение обучения основам п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редпринимательской деятельности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би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знес-плана реализуемого проекта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ind w:left="0"/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доля софинансирования бизнес-плана для СМП, относящегося к приоритетной целевой группе, – не менее 15% от размера гранта; для СМП, не относящегося к приоритетной целевой группе, –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не менее 20% от размера гранта</w:t>
            </w:r>
          </w:p>
          <w:p w:rsidR="00CB5CFA" w:rsidRPr="00CB5CFA" w:rsidRDefault="00CB5CFA" w:rsidP="00CB5CFA">
            <w:pPr>
              <w:pStyle w:val="a6"/>
              <w:numPr>
                <w:ilvl w:val="0"/>
                <w:numId w:val="6"/>
              </w:numPr>
              <w:jc w:val="both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создание одного и более рабочих мест в результате реализации бизнес-плана;</w:t>
            </w:r>
          </w:p>
          <w:p w:rsidR="00020B6B" w:rsidRPr="00CB5CFA" w:rsidRDefault="00CB5CFA" w:rsidP="00CB5CFA">
            <w:pPr>
              <w:pStyle w:val="a6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наличие в сведениях, содержащихся в Едином государственном реестре юридических лиц либо в Едином государственном реестре индивидуальных предпринимателей, вида(</w:t>
            </w:r>
            <w:proofErr w:type="spellStart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ов</w:t>
            </w:r>
            <w:proofErr w:type="spellEnd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деятельности, соответствующего(</w:t>
            </w:r>
            <w:proofErr w:type="spellStart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щих</w:t>
            </w:r>
            <w:proofErr w:type="spellEnd"/>
            <w:r w:rsidRPr="00CB5CFA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) реализуемому бизнес-плану</w:t>
            </w:r>
          </w:p>
        </w:tc>
      </w:tr>
      <w:tr w:rsidR="00B601C6" w:rsidTr="0029617F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020B6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</w:pPr>
          </w:p>
          <w:p w:rsidR="00D30FD2" w:rsidRPr="00D57541" w:rsidRDefault="0029617F" w:rsidP="00CB5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F74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>Нормативно-правовое обеспечение:</w:t>
            </w:r>
            <w:r w:rsidR="004F2ACE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</w:t>
            </w:r>
            <w:r w:rsidR="00CB5CFA">
              <w:rPr>
                <w:rFonts w:ascii="Times New Roman" w:hAnsi="Times New Roman" w:cs="Times New Roman"/>
                <w:sz w:val="24"/>
                <w:szCs w:val="24"/>
              </w:rPr>
              <w:t>грантов начинающим субъектам малого предпринимательства,</w:t>
            </w:r>
            <w:r w:rsidR="00CA16A5" w:rsidRPr="00CA16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утвержден Постановлением Правительства Камчатского края от 29.11.2013 № 521-П</w:t>
            </w:r>
            <w:r w:rsidR="00D5754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государственной 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2168">
              <w:rPr>
                <w:rFonts w:ascii="Times New Roman" w:hAnsi="Times New Roman" w:cs="Times New Roman"/>
                <w:bCs/>
                <w:sz w:val="24"/>
                <w:szCs w:val="24"/>
              </w:rPr>
              <w:t>Камчатского края «</w:t>
            </w:r>
            <w:r w:rsidR="00D57541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экономики и внешнеэкономической деятельности Кам</w:t>
            </w:r>
            <w:r w:rsidR="00D57541">
              <w:rPr>
                <w:rFonts w:ascii="Times New Roman" w:hAnsi="Times New Roman" w:cs="Times New Roman"/>
                <w:bCs/>
                <w:sz w:val="24"/>
                <w:szCs w:val="24"/>
              </w:rPr>
              <w:t>чатского края на 2014-2020 годы»</w:t>
            </w:r>
            <w:r w:rsidR="00645689">
              <w:rPr>
                <w:rFonts w:ascii="Times New Roman" w:hAnsi="Times New Roman" w:cs="Times New Roman"/>
                <w:sz w:val="24"/>
                <w:szCs w:val="24"/>
              </w:rPr>
              <w:t>, размещен на сайте КГАУ «Камчатский центр поддержки предпринимательства» в разд</w:t>
            </w:r>
            <w:r w:rsidR="00E721B2">
              <w:rPr>
                <w:rFonts w:ascii="Times New Roman" w:hAnsi="Times New Roman" w:cs="Times New Roman"/>
                <w:sz w:val="24"/>
                <w:szCs w:val="24"/>
              </w:rPr>
              <w:t>еле «Финансовые меры поддержки»</w:t>
            </w:r>
            <w:r w:rsidR="00E721B2" w:rsidRPr="00D57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C6F29" w:rsidRPr="006B1F74" w:rsidTr="0029617F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20B6B" w:rsidRDefault="00020B6B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</w:pPr>
          </w:p>
          <w:p w:rsidR="0098111E" w:rsidRPr="007F17D8" w:rsidRDefault="006B1F74" w:rsidP="007F17D8">
            <w:pPr>
              <w:jc w:val="both"/>
              <w:rPr>
                <w:rStyle w:val="a7"/>
                <w:rFonts w:ascii="Times New Roman" w:hAnsi="Times New Roman" w:cs="Times New Roman"/>
                <w:b/>
                <w:color w:val="385623" w:themeColor="accent6" w:themeShade="80"/>
                <w:sz w:val="24"/>
                <w:szCs w:val="24"/>
              </w:rPr>
            </w:pP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За получением </w:t>
            </w:r>
            <w:r w:rsidR="0098111E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>субсидии</w:t>
            </w:r>
            <w:r w:rsidRPr="006B1F74">
              <w:rPr>
                <w:rStyle w:val="a7"/>
                <w:rFonts w:ascii="Times New Roman" w:hAnsi="Times New Roman" w:cs="Times New Roman"/>
                <w:b/>
                <w:i w:val="0"/>
                <w:color w:val="385623" w:themeColor="accent6" w:themeShade="80"/>
                <w:sz w:val="24"/>
                <w:szCs w:val="24"/>
              </w:rPr>
              <w:t xml:space="preserve"> необходимо обращаться: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КГАУ «Камчатский центр поддержки предпринимательства»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Адрес: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683024, г. Петропавловск-Камчатский, пр. 50 л</w:t>
            </w: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ет Октября, д.4, каб. 512, 513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Контактный телефон: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(4152) 27-000-7, 27-05-45. Факс: (4152) 27-05-45</w:t>
            </w:r>
          </w:p>
          <w:p w:rsidR="0098111E" w:rsidRPr="00CC7CF9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E</w:t>
            </w:r>
            <w:r w:rsidRPr="00CC7CF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-</w:t>
            </w: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  <w:lang w:val="en-US"/>
              </w:rPr>
              <w:t>mail</w:t>
            </w:r>
            <w:r w:rsidRPr="00CC7CF9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:</w:t>
            </w:r>
            <w:r w:rsidRPr="00CC7CF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hyperlink r:id="rId14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kamcpp</w:t>
              </w:r>
              <w:r w:rsidRPr="00CC7CF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@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mail</w:t>
              </w:r>
              <w:r w:rsidRPr="00CC7CF9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.</w:t>
              </w:r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  <w:lang w:val="en-US"/>
                </w:rPr>
                <w:t>ru</w:t>
              </w:r>
            </w:hyperlink>
            <w:r w:rsidRPr="00CC7CF9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98111E" w:rsidRPr="0098111E" w:rsidRDefault="0098111E" w:rsidP="0098111E">
            <w:pP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98111E">
              <w:rPr>
                <w:rStyle w:val="a7"/>
                <w:rFonts w:ascii="Times New Roman" w:hAnsi="Times New Roman" w:cs="Times New Roman"/>
                <w:b/>
                <w:i w:val="0"/>
                <w:sz w:val="24"/>
                <w:szCs w:val="24"/>
              </w:rPr>
              <w:t>Сайт:</w:t>
            </w:r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 </w:t>
            </w:r>
            <w:hyperlink r:id="rId15" w:history="1">
              <w:r w:rsidRPr="0098111E">
                <w:rPr>
                  <w:rStyle w:val="a7"/>
                  <w:rFonts w:ascii="Times New Roman" w:hAnsi="Times New Roman" w:cs="Times New Roman"/>
                  <w:i w:val="0"/>
                  <w:sz w:val="24"/>
                  <w:szCs w:val="24"/>
                </w:rPr>
                <w:t>центрподдержки.рф</w:t>
              </w:r>
            </w:hyperlink>
            <w:r w:rsidRPr="0098111E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0C6F29" w:rsidRPr="006B1F74" w:rsidRDefault="000C6F29" w:rsidP="006B1F7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A16A5" w:rsidRPr="00494999" w:rsidRDefault="00CA16A5" w:rsidP="00494999">
      <w:pPr>
        <w:pStyle w:val="a6"/>
        <w:jc w:val="both"/>
        <w:rPr>
          <w:rFonts w:ascii="Times New Roman" w:eastAsia="Times New Roman" w:hAnsi="Times New Roman" w:cs="Times New Roman"/>
          <w:bCs/>
          <w:color w:val="252525"/>
          <w:sz w:val="2"/>
          <w:szCs w:val="2"/>
          <w:lang w:eastAsia="ru-RU"/>
        </w:rPr>
      </w:pPr>
      <w:bookmarkStart w:id="0" w:name="_GoBack"/>
      <w:bookmarkEnd w:id="0"/>
    </w:p>
    <w:sectPr w:rsidR="00CA16A5" w:rsidRPr="00494999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1"/>
    <w:multiLevelType w:val="hybridMultilevel"/>
    <w:tmpl w:val="AB4AB97A"/>
    <w:lvl w:ilvl="0" w:tplc="353002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C28B4"/>
    <w:multiLevelType w:val="hybridMultilevel"/>
    <w:tmpl w:val="81900EE4"/>
    <w:lvl w:ilvl="0" w:tplc="8FF089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F2BD7"/>
    <w:multiLevelType w:val="hybridMultilevel"/>
    <w:tmpl w:val="0676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439BB"/>
    <w:multiLevelType w:val="hybridMultilevel"/>
    <w:tmpl w:val="0D4099BA"/>
    <w:lvl w:ilvl="0" w:tplc="E722A590">
      <w:start w:val="1"/>
      <w:numFmt w:val="bullet"/>
      <w:lvlText w:val=""/>
      <w:lvlJc w:val="left"/>
      <w:pPr>
        <w:ind w:left="131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4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A1C85"/>
    <w:multiLevelType w:val="hybridMultilevel"/>
    <w:tmpl w:val="A52E51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E4598"/>
    <w:multiLevelType w:val="hybridMultilevel"/>
    <w:tmpl w:val="C2A6E768"/>
    <w:lvl w:ilvl="0" w:tplc="15F80DD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85623" w:themeColor="accent6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1E2DBA"/>
    <w:multiLevelType w:val="hybridMultilevel"/>
    <w:tmpl w:val="D34E1150"/>
    <w:lvl w:ilvl="0" w:tplc="E722A5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913"/>
    <w:multiLevelType w:val="hybridMultilevel"/>
    <w:tmpl w:val="3B8E0CE8"/>
    <w:lvl w:ilvl="0" w:tplc="6DDC237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0B5C5E"/>
    <w:multiLevelType w:val="hybridMultilevel"/>
    <w:tmpl w:val="64522E22"/>
    <w:lvl w:ilvl="0" w:tplc="247A9F8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5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20B6B"/>
    <w:rsid w:val="000C6F29"/>
    <w:rsid w:val="000F0164"/>
    <w:rsid w:val="00115FEA"/>
    <w:rsid w:val="001557D1"/>
    <w:rsid w:val="00161837"/>
    <w:rsid w:val="001810D5"/>
    <w:rsid w:val="00205331"/>
    <w:rsid w:val="002618C6"/>
    <w:rsid w:val="00271349"/>
    <w:rsid w:val="0029617F"/>
    <w:rsid w:val="002D429C"/>
    <w:rsid w:val="002E4989"/>
    <w:rsid w:val="002F7704"/>
    <w:rsid w:val="003245F7"/>
    <w:rsid w:val="0033594E"/>
    <w:rsid w:val="003D13DD"/>
    <w:rsid w:val="004477E8"/>
    <w:rsid w:val="00472523"/>
    <w:rsid w:val="00494999"/>
    <w:rsid w:val="004E2A3B"/>
    <w:rsid w:val="004F2ACE"/>
    <w:rsid w:val="005367DC"/>
    <w:rsid w:val="0064371D"/>
    <w:rsid w:val="00645689"/>
    <w:rsid w:val="00646D77"/>
    <w:rsid w:val="006B1F74"/>
    <w:rsid w:val="006D0100"/>
    <w:rsid w:val="006D07FD"/>
    <w:rsid w:val="00777900"/>
    <w:rsid w:val="00781714"/>
    <w:rsid w:val="007D5C81"/>
    <w:rsid w:val="007F17D8"/>
    <w:rsid w:val="008471B8"/>
    <w:rsid w:val="0098111E"/>
    <w:rsid w:val="00A04BAC"/>
    <w:rsid w:val="00A12168"/>
    <w:rsid w:val="00A6021A"/>
    <w:rsid w:val="00AB2D62"/>
    <w:rsid w:val="00B07FE9"/>
    <w:rsid w:val="00B46352"/>
    <w:rsid w:val="00B601C6"/>
    <w:rsid w:val="00B9048F"/>
    <w:rsid w:val="00BC6C68"/>
    <w:rsid w:val="00BF318A"/>
    <w:rsid w:val="00C35894"/>
    <w:rsid w:val="00CA16A5"/>
    <w:rsid w:val="00CB5CFA"/>
    <w:rsid w:val="00CC7CF9"/>
    <w:rsid w:val="00CF38E3"/>
    <w:rsid w:val="00D24FE6"/>
    <w:rsid w:val="00D30FD2"/>
    <w:rsid w:val="00D57541"/>
    <w:rsid w:val="00D664C3"/>
    <w:rsid w:val="00D964CE"/>
    <w:rsid w:val="00DA37BF"/>
    <w:rsid w:val="00DE2C56"/>
    <w:rsid w:val="00E14C5C"/>
    <w:rsid w:val="00E57A07"/>
    <w:rsid w:val="00E61D92"/>
    <w:rsid w:val="00E721B2"/>
    <w:rsid w:val="00E85D47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0ED523-C2A6-4620-A1E4-6E01DE0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900"/>
  </w:style>
  <w:style w:type="paragraph" w:styleId="4">
    <w:name w:val="heading 4"/>
    <w:basedOn w:val="a"/>
    <w:next w:val="a"/>
    <w:link w:val="40"/>
    <w:uiPriority w:val="9"/>
    <w:unhideWhenUsed/>
    <w:qFormat/>
    <w:rsid w:val="003245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245F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onsPlusNormal">
    <w:name w:val="ConsPlusNormal"/>
    <w:rsid w:val="003245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7">
    <w:name w:val="Emphasis"/>
    <w:basedOn w:val="a0"/>
    <w:uiPriority w:val="20"/>
    <w:qFormat/>
    <w:rsid w:val="003245F7"/>
    <w:rPr>
      <w:i/>
      <w:iCs/>
    </w:rPr>
  </w:style>
  <w:style w:type="paragraph" w:styleId="a8">
    <w:name w:val="Intense Quote"/>
    <w:basedOn w:val="a"/>
    <w:next w:val="a"/>
    <w:link w:val="a9"/>
    <w:uiPriority w:val="30"/>
    <w:qFormat/>
    <w:rsid w:val="003245F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245F7"/>
    <w:rPr>
      <w:i/>
      <w:iCs/>
      <w:color w:val="5B9BD5" w:themeColor="accent1"/>
    </w:rPr>
  </w:style>
  <w:style w:type="character" w:styleId="aa">
    <w:name w:val="Hyperlink"/>
    <w:basedOn w:val="a0"/>
    <w:uiPriority w:val="99"/>
    <w:unhideWhenUsed/>
    <w:rsid w:val="00C358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xn--d1aabcfmntjjkft7c.xn--p1ai/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amcp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1E317-5E6B-4817-8458-2ED5F847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2017-01-25T02:10:00Z</cp:lastPrinted>
  <dcterms:created xsi:type="dcterms:W3CDTF">2017-02-01T23:40:00Z</dcterms:created>
  <dcterms:modified xsi:type="dcterms:W3CDTF">2017-02-01T23:40:00Z</dcterms:modified>
</cp:coreProperties>
</file>