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360" w:before="0" w:after="0"/>
        <w:ind w:left="36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Доклад на публичный отчет Агентства по занятости населения и миграционной политике Камчатского края по итогам деятельности за 2016 год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ab/>
        <w:t>В рамках сегодняшнего мероприятия разрешите представить отчет о работе Агентства по занятости населения и миграционной политике Камчатского края в 2016 году.</w:t>
      </w:r>
    </w:p>
    <w:p>
      <w:pPr>
        <w:pStyle w:val="Normal"/>
        <w:tabs>
          <w:tab w:val="left" w:pos="709" w:leader="none"/>
        </w:tabs>
        <w:spacing w:lineRule="auto" w:line="36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ab/>
        <w:t>Деятельность Агентства и подведомственных ему государственных учреждений центров занятости населения в прошедшем году была направлена на реализацию мероприятий государственной программы «Содействие занятости населения Камчатского края» и нацелена на решение одной из ключевых задач – поддержание эффективной занятости населения Камчатского края, содействие гражданам в трудоустройстве, а работодателям в поиске необходимых кадров.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Ситуация на краевом рынке труда является отражением социально-экономической ситуации региона, которая в 2016 году характеризовалась как наличием позитивных тенденций развития, так и снижением темпов экономических показателей отдельных отраслей, а также наличием территориального и структурного несоответствия спроса и предложения рабочей силы. Но несмотря на имеющиеся проблемы, в 2016 году на краевом рынке труда удалось сохранить достаточно стабильную ситуацию.</w:t>
      </w:r>
    </w:p>
    <w:p>
      <w:pPr>
        <w:pStyle w:val="Normal"/>
        <w:tabs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/>
          <w:sz w:val="32"/>
          <w:szCs w:val="32"/>
        </w:rPr>
      </w:pPr>
      <w:r>
        <w:rPr>
          <w:rFonts w:eastAsia="Calibri"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Численность экономически активного населения по данным статистики в декабре 2016 года составила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181400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человек, снизившись по сравнению с декабрем 2015 года на 3,4%. Численность занятых в экономике составила 171800 человек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Показатели общей безработицы выросли относительно 2015 года. Численность безработных, рассчитанная по 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методологии Международной организации труда, составила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9555 человек, что 8,1% превышает аналогичный показатель за декабрь 2015 года. Уровень общей безработицы вырос на 0,6 процентных пункта и составил 5,3%. Следует отметить нестабильность и значительные колебания данного показателя на протяжении прошедшего года, а именно его колебания от 4,7%  на 01.01.2016, до 3,4% на 01.10.2016.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При этом, в 2016 году на рынке труда Камчатского края наблюдается довольно высокий уровень занятости   населения – в пределах 70,0%.</w:t>
      </w:r>
    </w:p>
    <w:p>
      <w:pPr>
        <w:pStyle w:val="Style19"/>
        <w:tabs>
          <w:tab w:val="left" w:pos="709" w:leader="none"/>
        </w:tabs>
        <w:spacing w:lineRule="auto" w:line="36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NewRomanPSMT"/>
          <w:b w:val="false"/>
          <w:bCs w:val="false"/>
          <w:i w:val="false"/>
          <w:iCs w:val="false"/>
          <w:sz w:val="32"/>
          <w:szCs w:val="32"/>
          <w:lang w:eastAsia="en-US"/>
        </w:rPr>
        <w:tab/>
        <w:t xml:space="preserve">На регистрируемом рынке труда в течение 2016 года показатели, характеризующие его состояние, изменились по отношению к 2015 году следующим образом: </w:t>
      </w:r>
    </w:p>
    <w:p>
      <w:pPr>
        <w:pStyle w:val="Style19"/>
        <w:tabs>
          <w:tab w:val="left" w:pos="709" w:leader="none"/>
        </w:tabs>
        <w:spacing w:lineRule="auto" w:line="36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NewRomanPSMT"/>
          <w:b w:val="false"/>
          <w:bCs w:val="false"/>
          <w:i w:val="false"/>
          <w:iCs w:val="false"/>
          <w:sz w:val="32"/>
          <w:szCs w:val="32"/>
          <w:lang w:eastAsia="en-US"/>
        </w:rPr>
        <w:tab/>
        <w:t>- выросло число обращений граждан в органы государственной службы занятости населения в целях поиска подходящей работы на 11,7%</w:t>
      </w:r>
      <w:r>
        <w:rPr>
          <w:rFonts w:eastAsia="TimesNewRomanPSMT"/>
          <w:b w:val="false"/>
          <w:bCs w:val="false"/>
          <w:i w:val="false"/>
          <w:iCs w:val="false"/>
          <w:szCs w:val="28"/>
          <w:lang w:eastAsia="en-US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32"/>
          <w:szCs w:val="32"/>
          <w:lang w:eastAsia="en-US"/>
        </w:rPr>
        <w:t>- число граждан, признанных в установленном порядке безработными, выросло на 6,9%</w:t>
      </w: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32"/>
          <w:szCs w:val="32"/>
          <w:lang w:eastAsia="en-US"/>
        </w:rPr>
        <w:t>Уровень регистрируемой безработицы на конец декабря 2016 года составил 1,6% от экономически активного населения, что на 0,1 процентных пункта ниже, чем год назад. Численность зарегистрированных безработных граждан снизилась на 3,7% и составила 3109 человек.</w:t>
      </w: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NewRomanPSMT"/>
          <w:sz w:val="32"/>
          <w:szCs w:val="32"/>
          <w:lang w:eastAsia="en-US"/>
        </w:rPr>
      </w:pP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32"/>
          <w:szCs w:val="32"/>
          <w:lang w:eastAsia="en-US"/>
        </w:rPr>
        <w:t>Как выглядит ситуация с основными показателями регулируемого рынка труда Камчатского края в разрезе муниципальных образований, вы можете увидеть на представленном слайде.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32"/>
          <w:szCs w:val="32"/>
          <w:lang w:eastAsia="en-US"/>
        </w:rPr>
        <w:t>Снижению численности безработных граждан способствовал рост уровня трудоустройства. В течение 2016 года трудоустроено более 6600 человек, что на 23,9% превышает аналогичный показатель 2015 года. Уровень трудоустройства вырос на 4,8 процентных пункта и составил 48,6%</w:t>
      </w:r>
      <w:r>
        <w:rPr>
          <w:rFonts w:eastAsia="TimesNewRomanPSMT"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Коэффициент напряженности на рынке рабочей силы на 01.01.2017 года составил 0,7 человек на одно вакантное рабочее место.</w:t>
      </w:r>
    </w:p>
    <w:p>
      <w:pPr>
        <w:pStyle w:val="Style19"/>
        <w:tabs>
          <w:tab w:val="left" w:pos="540" w:leader="none"/>
          <w:tab w:val="left" w:pos="709" w:leader="none"/>
        </w:tabs>
        <w:spacing w:lineRule="auto" w:line="360" w:before="0" w:after="0"/>
        <w:ind w:firstLine="709"/>
        <w:jc w:val="both"/>
        <w:rPr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Довольно низкий показатель напряженности обеспечен тем, что банк данных службы занятости ежемесячно содержит от 4,0 тыс. до 6,0 тыс. вакансий.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Всего за прошедший год работодателями края было заявлено в центры занятости населения более 27,0 тысяч вакансий, по состоянию на 1 января 2017 года в банке данных порядка 5600 вакансий, 44,0% из которых составляют вакансии рабочих профессий. Наибольшую потребность в квалифицированных кадрах испытывают организации строительной, обрабатывающей отраслей, организации государственного управления и обеспечения военной безопасности, здравоохранения, образования, торговли, транспорта и связи.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Как выгладит наш субъект на фоне иных субъектов Дальневосточного федерального округа, в целом ДФО и Российской Федерации вы можете увидеть на представленном слайде. На слайде видно, что по состоянию на начало этого года показатель регистрируемой безработицы (а регистрируемая безработица определяется как отношение численности граждан,  зарегистрированных в качестве безработных в ЦЗН к численности экономически активного населения) в крае равен этому показателю в целом по ДФО, и на 0,4 процентных пункта превышает общероссийский. По уровню напряженности (а этот показатель определяется как отношение численности граждан, обратившихся за содействием в трудоустройстве к числу вакансий, заявленных в ОГСН) наш показатель 0,7 незначительно на 0,1 превышает Дальневосточный, но ниже, чем в целом по России.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Сохранению стабильной ситуации на рынке труда способствует реализация мероприятий государственной программы «Содействие занятости населения Камчатского края», которая включает в себя 5 подпрограмм, основные из которых, оказывающие непосредственное влияние на состояние с занятостью населения в крае, представлены на слайде, это: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-подпрограмма «Активная политика занятости и социальная поддержка безработных граждан»;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-подпрограмма «Оказание содействия добровольному переселения в Камчатский край соотечественников, проживающих за рубежом, на 2014 – 2017 годы»;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-подпрограмма «Управление миграционными потоками в Камчатском крае»;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-подпрограмма «Повышение мобильности трудовых ресурсов Камчатского края».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В рамках подпрограммы «Активная политика занятости населения и социальная поддержка безработных граждан»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в течение 2016 года центрами занятости оказано гражданам более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13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тыс. государственных услуг.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На реализацию активных мер из бюджета Камчатского края было выделено 47 млн. рублей.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За отчетный период было организовано: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временное трудоустройство 2734 несовершеннолетних граждан в свободное от учебы время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временное трудоустройство 137 безработных граждан, испытывающих трудности в поиске работы;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участие в общественных  работах приняли 524 гражданина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Проведено 114 ярмарок вакансий и учебных рабочих мест, в которых приняло участие более 5 тыс. граждан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Каждый третий участник был трудоустроен на постоянную или временную работу.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Оказано порядка 14,0 тысяч услуг по информированию граждан о ситуации на рынке труда.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В целях повышения конкурентоспособности граждан на региональном рынке труда: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оказано 7305 госуслуг по профессиональной ориентации граждан и 1381 госуслуга по психологической поддержке и социальной адаптации безработных граждан на рынке труда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- организовано прохождение  профессионального обучения и получение дополнительного профессионального образования для 641 безработного гражданина, 77 женщин, находящихся в отпуске по уходу за ребенком до достижения им возраста 3-х лет, и 22 незанятых пенсионеров. 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Развитие предпринимательских инициатив граждан – это одна из активных форм работы с незанятым населением, которую мы реализовывали в прошедшем году. На представленном слайде вы можете увидеть количественные показатели нашей деятельности в этом направлении, а также портрет безработного гражданина, зарегистрировавшего собственное дело. В прошедшем году 250 безработным гражданам оказана госуслуга по содействию самозанятости, из них оформили государственную регистрацию в качестве юридического лица или индивидуального предпринимателя 84 безработных гражданина. На организацию собственного дела гражданам предоставлялась единовременная финансовая помощь в размере 88200 рублей, для отдельных категорий граждан - 132300 рублей, кроме этого оказывалась компенсация расходов на оформление документов, связанных с открытием собственного дела. 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Особое внимание мы уделяли трудоустройству граждан с ограниченными возможностями здоровья. Для решения этой задачи в крае была активизирована работа, направленная на повышение уровня занятости инвалидов. Организован персонифицированный учет всех нуждающихся в трудоустройстве инвалидов.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Каждый был персонально проинформирован  о возможности трудоустройства при содействии службы занятости населения. Работа по трудоустройству лиц с ограниченными возможностями здоровья проводилась по двум направления – первое – это непосредственно с самими гражданами, а второе – это работа с работодателями, принимающими на работу и квотирующими рабочие места для инвалидов.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В результате проведенной адресной работы с работодателями: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за три последних месяца 2016 года на 22,3% увеличилось количество заквотированных рабочих мест для приема на работу инвалидов, на 15,6% увеличилась численность инвалидов, трудоустроенных на квотируемые рабочие места;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- создано 6 дополнительных рабочих мест для трудоустройства инвалидов за счет средств краевого бюджета.</w:t>
      </w:r>
    </w:p>
    <w:p>
      <w:pPr>
        <w:pStyle w:val="Normal"/>
        <w:spacing w:lineRule="auto" w:line="360" w:before="0" w:after="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>Так, по данным работодателей, на конец прошлого года квота для приема на работу инвалидов, установлена в количестве 774 ед. Работает на квотируемых рабочих местах 371 инвалид.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В течение отчетного периода в центры занятости населения обратилось за содействием в поиске подходящей работы 286 инвалидов. 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По итогам 2016 года 77 инвалидов трудоустроено, 15 - прошли профессиональное обучение (переобучение), 1 - зарегистрировал индивидуальную предпринимательскую деятельность.  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bookmarkStart w:id="0" w:name="_Toc428370644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На реализацию полномочий органов государственной службы занятости населения в 2016 году </w:t>
      </w:r>
      <w:r>
        <w:rPr>
          <w:rFonts w:eastAsia="Calibri" w:ascii="Times New Roman" w:hAnsi="Times New Roman" w:eastAsiaTheme="minorHAnsi"/>
          <w:b w:val="false"/>
          <w:bCs w:val="false"/>
          <w:i w:val="false"/>
          <w:iCs w:val="false"/>
          <w:sz w:val="32"/>
          <w:szCs w:val="32"/>
          <w:lang w:eastAsia="en-US"/>
        </w:rPr>
        <w:t>был утвержден годовой объем ассигнований  506 321,3 тыс. рублей. Структуру расходов и доходов Агентства за последние 3 года вы можете увидеть на представленном слайде. В общей структуре доходов средства  федерального бюджета в виде субвенции на социальные выплаты безработным гражданам составили 133 077,1 тыс. рублей; средства субсидий ФБ составили  6641,15 тысяч рублей.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ascii="Times New Roman" w:hAnsi="Times New Roman" w:eastAsiaTheme="minorHAnsi"/>
          <w:b w:val="false"/>
          <w:bCs w:val="false"/>
          <w:i w:val="false"/>
          <w:iCs w:val="false"/>
          <w:sz w:val="32"/>
          <w:szCs w:val="32"/>
          <w:lang w:eastAsia="en-US"/>
        </w:rPr>
        <w:t>Кассовый расход за 2016 год по исполнению переданных полномочий РФ, и полномочий, предусмотренных действующими нормативными актами Камчатского края, составил 493 073,07 тыс. рублей или 97,38% от  утвержденных ассигнований.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Помимо деятельности в области занятости населения Агентство осуществляет полномочия по регулированию вопросов внешней трудовой миграции. С этой целью Агентством на постоянной основе осуществляется ряд мероприятий, направленных на привлечение трудовых мигрантов, в том числе из числа иностранных граждан с визовым порядком въезда.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В 2016 году в Камчатский край въехало с целью осуществления трудовой деятельности 6600 человек. В основном иностранные граждане въезжали в край с этой целью из стран Ближнего Зарубежья. Доля таких иностранных граждан, в общей численности, составила 96,4 %. Оставшиеся граждане - 209 человек осуществляли в крае трудовую деятельность по разрешениям на работу и являлись гражданами стран Дальнего Зарубежья. 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Привлечение иностранных граждан из стран Дальнего Зарубежья из года в год достаточно стабильно и находится в диапазоне от 159 в 2014 году, до 209 человек в 2016 году. Наибольшее количество таких иностранных граждан въезжает в край из Корейской народной демократической республики.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Большинство привлекаемых иностранных граждан замещают рабочие места, длительно не заполняемые российскими гражданами, а именно: по строительным специальностям (бетонщики, маляры, плотники, плиточники), а также рабочие места в сфере предоставления услуг населению (массажисты), деятельности ресторанов и кафе (повара) и в сельском хозяйстве (агрономы и овощеводы). И здесь следует отметить, что несоответствие спроса и предложения на рынке труда рабочей силы именно по таким специальностям и профессиям в этих отраслях проявляется особо остро. Так, предложение превышает спрос на бетонщиков в 23,5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раза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, плотников в 5,57 раз, маляров в 5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раз,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овощеводов в 36 раз, поваров в 1,6 раз, массажистов в 22 раза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 </w:t>
      </w:r>
    </w:p>
    <w:p>
      <w:pPr>
        <w:pStyle w:val="ListParagraph"/>
        <w:spacing w:lineRule="auto" w:line="360"/>
        <w:ind w:left="0" w:right="-1"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В Камчатском крае в 2016 году действовал региональный коэффициент, отражающий особенности рынка труда, и устанавливающий величину стоимости патента, уплачиваемого иностранными работниками  за осуществление</w:t>
      </w:r>
      <w:bookmarkStart w:id="1" w:name="_GoBack"/>
      <w:bookmarkEnd w:id="1"/>
      <w:r>
        <w:rPr>
          <w:b w:val="false"/>
          <w:bCs w:val="false"/>
          <w:i w:val="false"/>
          <w:iCs w:val="false"/>
          <w:sz w:val="32"/>
          <w:szCs w:val="32"/>
        </w:rPr>
        <w:t xml:space="preserve"> трудовой деятельности на территории края, равный 2,75. Данный размер коэффициента позволил пополнить доходную часть краевого бюджета на 198 106,0 тысяч рублей, что значительно превышает сумму налоговых поступлений, полученных бюджетом в 2015 году, в 2,2 раза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К сожалению, на протяжении последних лет в Камчатском крае наблюдается устойчивый отток населения. На слайде, представленном на экране, вы можете увидеть динамику миграционного оттока и естественного прироста населения на протяжении последних лет. Данные по итогам 2016 года пока показаны предварительные.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Одним из способов привлечения в край постоянного населения, а также одним из приоритетных направлений в реализации активной миграционной политики и решения демографической проблемы является реализация в Камчатском крае Государственной программы по оказанию содействия добровольному переселению в Российскую Федерацию соотечественников, проживающих за рубежом. В Камчатском крае Госпрограмма реализуется с 2010 года. Региональная программа переселения Камчатского края пользуется популярностью среди соотечественников, проживающих за рубежом. За счет привлечения трудовых ресурсов в рамках Государственной программы, Камчатский край приобретает необходимых специалистов, в регионе улучшается демографическая ситуация.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Всего в период с 2010 года по 2016 год в Камчатский край переселилось 2652 соотечественника. В прошедшем году эта цифра составила 380 человек.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В рамках Госпрограммы переселилось значительное количество многодетных семей, а также в семьях переселившихся соотечественников родилось около 100 детей.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Кроме оказания государственных услуг населению и работодателям, Агентство осуществляет </w:t>
      </w:r>
      <w:r>
        <w:rPr>
          <w:rFonts w:eastAsia="Calibri" w:ascii="Times New Roman" w:hAnsi="Times New Roman" w:eastAsiaTheme="minorHAnsi"/>
          <w:b w:val="false"/>
          <w:bCs w:val="false"/>
          <w:i w:val="false"/>
          <w:iCs w:val="false"/>
          <w:sz w:val="32"/>
          <w:szCs w:val="32"/>
          <w:lang w:eastAsia="en-US"/>
        </w:rPr>
        <w:t>надзорно-контрольные  функции за обеспечением государственных гарантий.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Так, в рамках контроля за приемом на работу инвалидов в пределах установленной квоты в 2016 году проведены проверки в отношении 20 юридических лиц. </w:t>
      </w:r>
      <w:r>
        <w:rPr>
          <w:rFonts w:eastAsia="Calibri" w:ascii="Times New Roman" w:hAnsi="Times New Roman" w:eastAsiaTheme="minorHAnsi"/>
          <w:b w:val="false"/>
          <w:bCs w:val="false"/>
          <w:i w:val="false"/>
          <w:iCs w:val="false"/>
          <w:sz w:val="32"/>
          <w:szCs w:val="32"/>
          <w:lang w:eastAsia="en-US"/>
        </w:rPr>
        <w:t xml:space="preserve">Составлено и направлено в суд 11 протоколов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в отношении работодателей, </w:t>
      </w:r>
      <w:r>
        <w:rPr>
          <w:rFonts w:eastAsia="Calibri" w:ascii="Times New Roman" w:hAnsi="Times New Roman" w:eastAsiaTheme="minorHAnsi"/>
          <w:b w:val="false"/>
          <w:bCs w:val="false"/>
          <w:i w:val="false"/>
          <w:iCs w:val="false"/>
          <w:sz w:val="32"/>
          <w:szCs w:val="32"/>
          <w:lang w:eastAsia="en-US"/>
        </w:rPr>
        <w:t>не предоставивших или несвоевременно предоставивших сведения (информацию). Кроме этого, г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осударственная функция контроля в прошедшем году работниками Агентства исполнена в отношении 5 ЦЗН.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bookmarkStart w:id="2" w:name="_Toc428370644"/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Достаточно активно граждане обращаются в Агентство за различного рода разъяснениями. Так, </w:t>
      </w:r>
      <w:bookmarkEnd w:id="2"/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в 2016 году поступило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684 обращения граждан. Всем гражданам были даны ответы на интересующие их вопросы в установленные законодательством сроки.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На протяжении всего года при Агентстве осуществлял свою работу Общественный Совет, было проведено в 2016 году 6 заседаний Совета. Мы приглашаем всех присутствующих здесь неравнодушных граждан инициировать свое включение в наш Общественный Совет с целью принятия решений, которые будут способствовать развитию эффективной занятости населения Камчатского края и влиять на деятельность не только нашего Агентства, но всей краевой службы занятости населения в целом.</w:t>
      </w:r>
    </w:p>
    <w:p>
      <w:pPr>
        <w:pStyle w:val="Normal"/>
        <w:spacing w:lineRule="auto" w:line="360" w:before="0" w:after="0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Спасибо за внимание!</w:t>
      </w:r>
    </w:p>
    <w:sectPr>
      <w:footerReference w:type="default" r:id="rId2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478845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73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a1073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5" w:customStyle="1">
    <w:name w:val="Заголовок 15 Знак"/>
    <w:basedOn w:val="DefaultParagraphFont"/>
    <w:link w:val="150"/>
    <w:qFormat/>
    <w:locked/>
    <w:rsid w:val="00a10739"/>
    <w:rPr>
      <w:rFonts w:ascii="Times New Roman" w:hAnsi="Times New Roman" w:eastAsia="" w:cs="" w:cstheme="majorBidi" w:eastAsiaTheme="majorEastAsia"/>
      <w:b/>
      <w:bCs/>
      <w:color w:val="5B9BD5" w:themeColor="accent1"/>
      <w:sz w:val="28"/>
      <w:szCs w:val="28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107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uiPriority w:val="99"/>
    <w:qFormat/>
    <w:rsid w:val="001764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7c50ef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51473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192a06"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192a06"/>
    <w:rPr>
      <w:rFonts w:ascii="Calibri" w:hAnsi="Calibri" w:eastAsia="Times New Roman" w:cs="Times New Roman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link w:val="a4"/>
    <w:uiPriority w:val="99"/>
    <w:unhideWhenUsed/>
    <w:rsid w:val="001764d3"/>
    <w:pPr>
      <w:spacing w:lineRule="auto" w:line="240" w:before="0" w:after="120"/>
    </w:pPr>
    <w:rPr>
      <w:rFonts w:ascii="Times New Roman" w:hAnsi="Times New Roman"/>
      <w:sz w:val="28"/>
      <w:szCs w:val="20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151" w:customStyle="1">
    <w:name w:val="Заголовок 15"/>
    <w:basedOn w:val="3"/>
    <w:link w:val="15"/>
    <w:qFormat/>
    <w:rsid w:val="00a10739"/>
    <w:pPr>
      <w:keepLines w:val="false"/>
      <w:spacing w:lineRule="auto" w:line="240" w:before="0" w:after="0"/>
      <w:jc w:val="both"/>
    </w:pPr>
    <w:rPr>
      <w:rFonts w:ascii="Times New Roman" w:hAnsi="Times New Roman"/>
      <w:b/>
      <w:bCs/>
      <w:color w:val="5B9BD5" w:themeColor="accent1"/>
      <w:sz w:val="28"/>
      <w:szCs w:val="28"/>
      <w:lang w:val="x-none" w:eastAsia="en-US"/>
    </w:rPr>
  </w:style>
  <w:style w:type="paragraph" w:styleId="ListParagraph">
    <w:name w:val="List Paragraph"/>
    <w:basedOn w:val="Normal"/>
    <w:uiPriority w:val="34"/>
    <w:qFormat/>
    <w:rsid w:val="00f8188a"/>
    <w:pPr>
      <w:spacing w:lineRule="auto" w:line="240" w:before="0" w:after="0"/>
      <w:ind w:left="720" w:hanging="0"/>
      <w:contextualSpacing/>
    </w:pPr>
    <w:rPr>
      <w:rFonts w:ascii="Times New Roman" w:hAnsi="Times New Roman"/>
      <w:sz w:val="20"/>
      <w:szCs w:val="20"/>
    </w:rPr>
  </w:style>
  <w:style w:type="paragraph" w:styleId="ConsPlusNormal" w:customStyle="1">
    <w:name w:val="ConsPlusNormal"/>
    <w:qFormat/>
    <w:rsid w:val="007c50e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514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a"/>
    <w:uiPriority w:val="99"/>
    <w:unhideWhenUsed/>
    <w:rsid w:val="00192a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192a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Application>LibreOffice/5.2.3.1$Linux_X86_64 LibreOffice_project/20m0$Build-1</Application>
  <Pages>10</Pages>
  <Words>1857</Words>
  <Characters>12641</Characters>
  <CharactersWithSpaces>14476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2017-01-15T23:40:00Z</dcterms:created>
  <dc:creator>Кормильцев Валерий Михайлович</dc:creator>
  <dc:description/>
  <dc:language>ru-RU</dc:language>
  <cp:lastModifiedBy/>
  <cp:lastPrinted>2017-01-22T22:03:00Z</cp:lastPrinted>
  <dcterms:modified xsi:type="dcterms:W3CDTF">2017-01-24T15:31:32Z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