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ОТЧЕТ за 2023 год по исполнению Плана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мероприятий по реализации в Камчатском крае в 2022-2032 годах Международного десятилетия языков коренных народов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3"/>
        <w:tblW w:w="15414" w:type="dxa"/>
        <w:jc w:val="left"/>
        <w:tblInd w:w="-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9"/>
        <w:gridCol w:w="3347"/>
        <w:gridCol w:w="1424"/>
        <w:gridCol w:w="9804"/>
      </w:tblGrid>
      <w:tr>
        <w:trPr>
          <w:trHeight w:val="102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3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 xml:space="preserve">№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3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>Наименование мероприятия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3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>Сроки исполнения</w:t>
            </w:r>
          </w:p>
        </w:tc>
        <w:tc>
          <w:tcPr>
            <w:tcW w:w="9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3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>Ответственные</w:t>
            </w:r>
          </w:p>
          <w:p>
            <w:pPr>
              <w:pStyle w:val="113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4"/>
                <w:szCs w:val="20"/>
                <w:u w:val="none"/>
              </w:rPr>
              <w:t>исполнители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4"/>
        </w:rPr>
      </w:pPr>
      <w:r>
        <w:rPr>
          <w:rFonts w:ascii="Times New Roman" w:hAnsi="Times New Roman"/>
          <w:sz w:val="4"/>
        </w:rPr>
      </w:r>
    </w:p>
    <w:tbl>
      <w:tblPr>
        <w:tblStyle w:val="Style_3"/>
        <w:tblW w:w="15384" w:type="dxa"/>
        <w:jc w:val="left"/>
        <w:tblInd w:w="-22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32"/>
        <w:gridCol w:w="3353"/>
        <w:gridCol w:w="1405"/>
        <w:gridCol w:w="9793"/>
      </w:tblGrid>
      <w:tr>
        <w:trPr>
          <w:tblHeader w:val="true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5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-395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0"/>
              </w:rPr>
              <w:t>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4</w:t>
            </w:r>
          </w:p>
        </w:tc>
      </w:tr>
      <w:tr>
        <w:trPr>
          <w:trHeight w:val="649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Подготовка и публикация учебных пособий, методических рекомендаций, статей, в том числе в электронном виде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образования Камчатского края, КГАУ ДПО «Камчатский ИРО»: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2023 году приказом Министерства просвещения Российской Федерации от 18.05.2023 № 372 утверждена федеральная образовательная программа начального общего образования, в состав которой включена Федеральная рабочая программа по учебному предмету «Родной (корякский) язык» (пункт 48, страницы 801-816 ФОП НОО), автором которой является доцент кафедры родных языков, культуры и быта коренных малочисленных народов Севера КГАУ ДПО «Камчатский ИРО», кандидат филологических наук В.Р. Дедык. В 2023 году в Санкт-Петербургском филиале издательства «Просвещение» в серии «Новый учебник Дальнего Востока» в рамках реализации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по мероприятию 1.8.1 «Издание, приобретение и доставка учебной и учебно-методической литературы в образовательные организации в Камчатском крае» и на основании договора между КГАУ ДПО «Камчатский ИРО» и АО «Издательство «Просвещение» от 15.05.2023 № 150523-4 на поставку учебной литературы изданы: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-Дедык В.Р., Сафонова Л.М. Рабочая тетрадь к учебному пособию на корякском языке «Букварь. 1 класс»;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-Дедык В.Р., Сафонова Л.М. Рабочая тетрадь к учебному пособию «Корякский язык. 2 класс»;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-Дедык В.Р., Сафонова Л.М. Рабочая тетрадь к учебному пособию «Корякский язык. 3 класс»;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-Дедык В.Р., Сафонова Л.М. Рабочая тетрадь к учебному пособию «Корякский язык. 4 класс».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Общее количество рабочих тетрадей - 400 экземпляров (по 100 экземпляров для каждого класса). Рабочие тетради направлены в образовательные организации Корякского округа, в которых преподается корякский язык.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2023 году сотрудниками подготовлено и опубликовано в издательствах «Просвещение», «Камчатский ИРО»: 4 учебных пособия (Рабочие тетради к учебным пособиям «Корякский язык. 1-4 классы); 3 методических пособия (методические рекомендации к учебному пособию Корякский язык), 7 класс; методические рекомендации по изучению корякского и ительменского языков. Методические пособия размещены в свободном доступе на сайте Камчатского института развития образования. Кроме этого, опубликовано 3 статьи в журнале «Камчатский педагогический вестник».</w:t>
            </w:r>
          </w:p>
        </w:tc>
      </w:tr>
      <w:tr>
        <w:trPr>
          <w:trHeight w:val="98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Реализация дополнительных профессиональных программ повышения квалификации для учителей родных языков коренных малочисленных народов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образования Камчатского края, КГАУ ДПО «Камчатский ИРО»: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2023 году на базе КГАУ ДПО «Камчатский ИРО» реализовано 4 дополнительных профессиональных программы повышения квалификации. Удостоверения получили 38 педагогических работников.  Курсы повышения квалификации в течение года прошли по темам: 1. «Формирование этнокультурной компетентности обучающихся начального и основного общего образования», срок обучения: 11.01.2023 -10.02.2023.</w:t>
            </w:r>
          </w:p>
        </w:tc>
      </w:tr>
      <w:tr>
        <w:trPr>
          <w:trHeight w:val="69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Проведение спектаклей национального кукольного театра «Анук» на корякском языке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«Корякский центр народного творчества».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июнь, ноябрь, декабрь 2023 г. 8 спектаклей;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- 10 занятий по корякскому языку в течение года.</w:t>
            </w:r>
          </w:p>
        </w:tc>
      </w:tr>
      <w:tr>
        <w:trPr>
          <w:trHeight w:val="69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Проведение экспедиций по сбору фольклорных материалов на языках коренных народов, проживающих в Камчатском крае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«Камчатский центр народного творчества»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рамках фольклорно-этнографических экспедиций  осуществляется: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-запись информантов - носителей традиционных знаний (44 экспедиции в отдаленные села Камчатского края, записано около 400 носителей традиционных знаний);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-проведение мастер-классов по декоративно-прикладному искусству и национальной хореографии;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-формирование электронного каталога (реестра) объектов нематериального этнокультурного достояния Камчатского края и народов России, а также  электронного архива аудио-, фото- и видеоматериалами всех жанров традиционной культуры (внесены 25 объектов нематериального культурного наследия, в том числе и обрядовые  праздники кочевых народов Камчатки);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-издание этнографических материалов, сборников по результатам фольклорно-этнографических экспедиций (бытование обрядовой практики,  возрождении традиционных ремесел, материалы, посвященные национальной хореографии, вокальному и устному народному творчеству).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«Корякский центр народного творчества», Проведены экспедиции: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сентябрь 2023 г. в с. Хаилино, Олюторский район Корякский округ;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ноябрь 2023 г. с. Тымлат, Карагинский район Корякский округ.</w:t>
            </w:r>
          </w:p>
        </w:tc>
      </w:tr>
      <w:tr>
        <w:trPr>
          <w:trHeight w:val="81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Разработка, выпуск литературы на родных языках, методических пособий по изучению родного языка: на корякском (алюторский, чавчувенский, нымыланский диалекты), эвенском, ительменском языках, игры, плакаты, медиа проекты и другие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«Корякский центр народного творчества»: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КГБУ «Корякский центр народного творчества» подготовлены: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Разработано: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плакаты «Мой словарь родного языка»;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дидактическое пособие: игра в виде домино на корякском (чавчувенский диалект) «Природа моего края», «Изучай корякский язык на нымыланском диалекте корякского языка», разговорники к национальным праздникам;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дидактическое пособие: календарь на корякском языке чавчувенский диалект «Оленный край».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Подготовлено: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книга «Мой Каюю»;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макет книги сказок Корякского национального кукольного театра «Анук»;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макет книги «Когда кукушка начнет куковать»;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настольная игра с карточками приложениями на корякском языке чавчувенском диалекте «Путешествие по Камчатке».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Выпущено: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настольная игра «Моя земля» на алюторском диалекте корякского языка.</w:t>
            </w:r>
          </w:p>
        </w:tc>
      </w:tr>
      <w:tr>
        <w:trPr>
          <w:trHeight w:val="9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Участие в региональных, всероссийских, международных мероприятиях, направленных на сохранение и развитие языкового пространства коренных народов, проживающих в Камчатском крае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«Корякский центр народного творчества»: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приняли участие в: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-международной научно-творческой конференции «Ердынские игры – содружество в пространстве Евразии»;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-творческом проекте «Традиции и современные тенденции танцевальное-песенной культуры народов Севера, Сибири и Дальнего Востока» творческого конкурса «Сияние Севера», г. Москва;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-традиционном обрядовом празднике «ТЕНИ ГУ», с. Чир-Унвд;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-Всероссийском смотре – конкурсе актуальных этнокультурных проектов «Россия: этнический комфорт», г. Москва. Лауреаты 1 степени;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-Дискуссионное-аналитическом клубе по языковой политике, декабрь 2023 г., г. Москва, институт языкознания РАН.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5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и проведение цикла тематических мероприятий, посвященных Международному Дню родного языка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20-21 февраля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«Корякский центр народного творчества»: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Организованы и проведены: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фольклорный вечер «Традиции нымыланской земли»;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просветительская акция «Говорим на родном языке».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Распространена методическая литература, направленная на изучение родных языков коренных народов, проживающих в Камчатском крае.</w:t>
            </w:r>
          </w:p>
        </w:tc>
      </w:tr>
      <w:tr>
        <w:trPr>
          <w:trHeight w:val="1273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и проведение мероприятий, направленных на сохранение и развитие языков народов Севера, популяризацию ценностей традиционной народной культуры, формирование ценностного отношения к духовному наследию народов Камчатки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«Корякский центр народного творчества»: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Проведено 10 мероприятий освещающих изучение родного языка: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фольклорные вечера «Лесновские вечорки»;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игровые программы для дошкольного, младшего школьного возраста;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творческие занятия по обучению техникам декоративно прикладного творчества с изучением родного корякского языка.</w:t>
            </w:r>
          </w:p>
        </w:tc>
      </w:tr>
      <w:tr>
        <w:trPr>
          <w:trHeight w:val="13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и проведение тематических мастер-классов, посвященных языковому многообразию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края: КГБУ «Корякский центр народного творчества» на базе  корякского национального кукольного театра «Анук».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- 15 тематических занятий в течение года.</w:t>
            </w:r>
          </w:p>
        </w:tc>
      </w:tr>
      <w:tr>
        <w:trPr>
          <w:trHeight w:val="69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и проведение цикла мероприятий для школьников «Сказки народов Камчатки»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края, КГБУ «Камчатский краевой объединенный музей».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течение года организовано и проведено: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участие в региональной выставке-ярмарке «Сказочная Камчатка» основной целью которой является сохранение многовековых традиций кореных народов Камчатского края. Музей представлял выставку «Палеоистория Камчатки». Посетителей 3700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-проведение детской образовательной программы «Материальная и духовная культура коренных народов Камчатки». Ознакомление с традициями и обычаями, повседневным бытом коренных народов Камчатки.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Посетителей 185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организация передвижных выставок «Путь каюра», «Путь каюра 2». На выставке посетители узнали о прошлом коренных народов Камчатки. Посетителей 996 чел., «Графика Санакоева». Представлены известные работы художника, отражающие истинный дух родного края и особую энергетику людей. Посетителей 632 чел., «Берингия. Первые старты». Знакомство с историей развития и становлением ездового собаководства на Камчатке. Посетителей 449 чел., «Оленные всадники Камчатки». Выставка посвящена эвенской национальной культуре. Посетителей 452 чел., «Быт эвенов» (Оленные всадники Камчатки). Посетителей 249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организация мероприятия «Материальная и духовная культура народов Камчатки» в г. Вилючинск. Посетителей 350 человек.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организация выставочного проекта «Образы Арктики: народы циркумполярного мира» в г. Салехард. Экспозиция посвящена традиционным культурам Арктики и Субарктики. Выставка презентует предметы быта и религиозного культа, национальные костюмы 15 коренных народов Севера, знакомит с их традиционными промыслами и видами жилищ.  Посетителей 3456 человек.</w:t>
            </w:r>
          </w:p>
        </w:tc>
      </w:tr>
      <w:tr>
        <w:trPr>
          <w:trHeight w:val="55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Онлайн рубрика «Камчадальские говорольни»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Мильковского сельского поселения: целью этого проекта явилась пропаганда мильковского камчадальского наречия, пропаганда творчества местных авторов. В 2023 году запись производилась:30.01.2023 г. Екатерина Попкова- Рассказ, 30.03.2023 г. Екатерина Попкова, стихотворение «Деды – шаманы», 09.06.2023г. Екатерина Попкова рассказ Г. Заяц «Насолил», 09.06.2023 г. Матвеева Людмила быль «Блины на тополе», 22.08.2023 г. Екатерина Попкова Стихотворение.</w:t>
            </w:r>
          </w:p>
        </w:tc>
      </w:tr>
      <w:tr>
        <w:trPr>
          <w:trHeight w:val="55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Цикл мероприятий «Сказки и мифы народов Севера»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14 февраля 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Мильковского сельского поселения: цикл интерактивных мероприятий (громкое чтение, мастер – класс, викторина) целью которого является продвижение книги и чтения, привить детям любовь к чтению, интерес к родной истории, литературе, фольклору, приобщение детей к чтению «живой» книги; знакомство детей с особенностями быта северных народов, с северными сказками и легендами. 14.02.2023г. Громкие чтения «Сказки Камчатской долины». Чтение и обсуждение сказки с ребятами с ОВЗ из группы дневного пребывания «Камчатского центра для несовершеннолетних». Количество посетителей 10.</w:t>
            </w:r>
          </w:p>
        </w:tc>
      </w:tr>
      <w:tr>
        <w:trPr>
          <w:trHeight w:val="100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«Практические занятия по эвенскому языку» совместно с Анавгайской средней школой. Занятия по традиционной культуре с изучением языка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Февраль 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Быстринского муниципального района: на протяжении года проводятся занятия по изучению эвенского языка на базе ЭКЦ «Мэнэдек», библиотека с. Анавгай и МБОУ «Анавгайская средняя общеобразовательная школа». Количество учеников: 21.</w:t>
            </w:r>
          </w:p>
        </w:tc>
      </w:tr>
      <w:tr>
        <w:trPr>
          <w:trHeight w:val="53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Литературный час «Дарящий песни»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18.02.2023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Тигильского муниципального района, библиотека - филиал с. Ковран литературный час «Дарящий песни» (о творчестве Г.Г. Поротова), присутствовало 5 человек.</w:t>
            </w:r>
          </w:p>
        </w:tc>
      </w:tr>
      <w:tr>
        <w:trPr>
          <w:trHeight w:val="71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Беседа о жизни  и творчестве Г.Г. Поротова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22.02.2023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Тигильского муниципального района, библиотека - филиал с. Воямполка, беседа о жизни  и творчестве Г.Г Поротова. Завершилось мероприятие литературной национальной лирикой «Ручей хрустальный языка родного» где ученики прочитали сказки на корякском языке, была оформлена книжная выставка «Я в жерло вулкана перо обмакнул».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Присутствовали – 9 человек.</w:t>
            </w:r>
          </w:p>
        </w:tc>
      </w:tr>
      <w:tr>
        <w:trPr>
          <w:trHeight w:val="317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Книжные выставки, обзоры, статьи, посвященные Международному дню родного языка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городского округа «посёлок Палана», МБУК «Корякская центральная библиотека им. К.Кеккетына. : Книжные выставки, обзоры, статьи, посвящённые Международному дню родного языка, проводятся ежегодно. В 2023 г. С 18.02. по25.02. в оформлена книжная выставка и проведён обзор «Язык мой – гордость моя», «21 февраля - Международный день родного языка». Выставки посетили 36 человек.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17.02.2022. акция, диктант «Русский язык - связующая нить народов России».  В мероприятии приняли участие 33 чел. В 2023 году, с 10.02 по 25.02. оформлены книжные выставки литературы по языкознанию, словари и литературные произведения на языках народов Севера. С19.02.по25.02. книжная выставка  «21 февраля - Международный день родного языка» (12 чел.), подготовлена виртуальная выставка «Без языка и колокол нем (704 чел.).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21.02.2023 Диктант «Русский язык – связующая нить народов России», 20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Поддержка средств массовой информации, издаваемых (выпускаемых) на языках коренных малочисленных народов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развития гражданского общества и молодежи Камчатского края: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осуществлена поддержка средств массовой информации, издаваемых (выпускаемых) на языках коренных малочисленных народов. Ежегодно из краевого бюджета предоставляется субсидия Автономной некоммерческой организации «Редакция газеты «Абориген Камчатки» в целях финансового обеспечения затрат, связанных с оказанием услуг по проведению мероприятия, направленного на этнокультурное развитие коренных малочисленных народов, посредством выпуска периодического печатного издания на национальных языках коренных малочисленных народов. Заключено соглашение в ГИИС «Электронный бюджет» о предоставлении из бюджета Камчатского края субсидии Автономной некоммерческой организации «Редакция газеты «Абориген Камчатки» от 26.06.2023 № № 40-2023-002243. В соответствии с Соглашением перечисление субсидии осуществлено в соответствии с планом-графиком перечисления субсидии. В текущем году субсидия составляет 500,0 тыс. рублей. Издано 6 номеров газеты «Абориген Камчатки» тиражом по 1000 экз.</w:t>
            </w:r>
          </w:p>
        </w:tc>
      </w:tr>
      <w:tr>
        <w:trPr>
          <w:trHeight w:val="98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Игра-викторина «А знаете ли вы?»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март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 , КГБУ ДО «Корякская детская школа искусств им. Д.Б. Кабалевского», март 2023 г.:</w:t>
            </w:r>
          </w:p>
          <w:p>
            <w:pPr>
              <w:pStyle w:val="ConsPlusNormal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Проведена игра-викторина на знание корякского языка прошла  в формате игры «Поле чудес».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игре приняли участие 12 человек, зрителями стали 33 чел.</w:t>
            </w:r>
          </w:p>
        </w:tc>
      </w:tr>
      <w:tr>
        <w:trPr>
          <w:trHeight w:val="98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Школьный конкурс рисунков «Мы рисуем алфавит!»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май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 , КГБУ ДО «Корякская детская школа искусств им. Д.Б. Кабалевского»,май 2023 г.: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 ежегодный общешкольный конкурс детских рисунков. В своих работах дети рисуют буквы русского алфавита, расписывая их разными орнаментами, изображая в виде различных предметов, растений, животных – все что может представить детская фантазия. Участников 28 человек – 9 призеров.</w:t>
            </w:r>
          </w:p>
        </w:tc>
      </w:tr>
      <w:tr>
        <w:trPr>
          <w:trHeight w:val="99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Участие в Межрегиональном фестивале народного творчества коренных малочисленных народов Севера, Сибири и Дальнего Востока «Золотые родники»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Раз в два года,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сентябрь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края: Фестиваль «Золотые родники» проводится 1 раз в 2 года. В 2023 году фестиваль не проводился. Запланирован на сентябрь 2024 года.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Проведение краевого конкурса творческих работ на родных языках народов, проживающих на территории Камчатского края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декабрь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Алеутского муниципального округа, Алеутский краеведческий музей: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сценка на алеутском языке Агўалакаӽт - ӄалакаӽт (не работал - не ешь),  автор Солованюк Е.И. Артистами стали ученики МБОУ «Никольская средняя общеобразовательная школа» : Глебов Глеб, Дубовсковы Милена и Каролина, Дягилев Павел, Маскеев Арсений, Миронова Ксения. Работа была отправлена на краевые конкурсы: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краевой фестиваль-конкурс сказок коренных малочисленных народов Севера, Сибири и Дальнего Востока, проживающих на территории Камчатского края «Мургин лымн,ыль»;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ежегодный краевой конкурс «Лучшая творческая работа на родном языке коренных малочисленных народов Севера, Сибири и Дальнего Востока, проживающих в Камчатском крае».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двух конкурсах в номинациях «Лучшая видеоработа» и «Родной язык – душа моя» сценка заняла призовое первое место.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«Семейные разговорные клубы»: Региональный проект «Семейные разговорные клубы» был разработан Ассоциацией учителей родного языка коренных малочисленных народов Севера, Сибири и Дальнего Востока. В течении 2023 года Дмитрий Матиенко изучал алеутский язык дома с бабушкой Солованюк Еленой Ивановной. Отчеты-видеоролики отправлялись на сайт Ассоциации. В декабре проект закончился. Всем участникам проекта Ассоциация подарила мобильные телефоны и почётные грамоты за участие по сохранению родных языков КМНС.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развития гражданского общества и молодежи Камчатского края: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Предусмотрено, профинансировано и освоено – 366,31579 тыс. рублей, в том числе за счет средств федерального бюджета – 348,00000 тыс. рублей, за счет средств краевого бюджета – 18,31579 тыс. рублей. В 2023 году творческие работы на конкурс предоставили 31 представитель коренных малочисленных народов из сел Никольское Алеусткого округа, Ачайваям Олюторского района, Ковран  Тигильского района, Каменское и Слаутное Пенжинского района, Анавгай и Эссо Быстринского района, пгт. Палана, городов Елизово и Петропавловска-Камчатского. Впервые в этом году был учрежден Гран-При конкурса «За сохранение и развитие языков коренных малочисленных народов, проживающих в Камчатском крае», обладателями которого стали Татьяна Заева, Лидия Сафонова. Заседание конкурсной комиссии состоялось 27.11.2023. В соответствии с п. 6.5 Приказа Министерство развития гражданского общества и молодежи Камчатского края от 05.07.2022 №191-П «О ежегодном краевом конкурсе «Лучшая творческая работа на родном языке коренных малочисленных народов Севера, Сибири и Дальнего Востока Российской Федерации, проживающих в Камчатском крае» Конкурсной комиссией распределены призовые места и денежные премии. КГКУ «Центр финансового обеспечения» произвел денежную выплату с учетом НДФЛ победителям конкурса и их представителям (в отношении детей) до 20 декабря 2023 года.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Торжественное награждение победителей конкурса прошло в рамках проведения круглого стола «Нематериальное достояние: как сохранить культуру и родные языки коренных малочисленных народов» Международной научно-практической конференции «Региональные проблемы развития Дальнего Востока и Арктики (III Моисеевские чтения), 08.12.2023.</w:t>
            </w:r>
          </w:p>
        </w:tc>
      </w:tr>
      <w:tr>
        <w:trPr>
          <w:trHeight w:val="127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Участие в краевом фестивале-конкурсе сказок коренных малочисленных народов Севера, Сибири и Дальнего Востока, проживающих на территории Камчатского края «Мургин лым,ныль» на родном языке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Ежегодно,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декабрь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края: КГБУ «Камчатский центр народного творчества».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Март-декабрь 2023 г. - работа конкурсной комиссии, с 6- 9 декабря 2023 г.  члены конкурсной комиссии выбирали победителей, 10 декабря 2023 прошла церемония награждения, гала концерт фестиваля в г. Петропавловск-Камчатский.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конкурсе дистанционно участвовало 5 коллектив, 5 солистов. Всего 44 человека.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программе для зрителей участие в: фотосессии в национальной одежде, мастер-классах, дегустации национальных блюд.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Все участники получили памятные дипломы, а победители денежные сертификаты.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Прямой эфир фестиваля-конкурса можно посмотреть на странице КЦНТ ВКонтакте и RuTube канале.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Приняли участие 6341 чел. (онлайн в прямом эфире представление посмотрели 2 500 чел).</w:t>
            </w:r>
          </w:p>
        </w:tc>
      </w:tr>
      <w:tr>
        <w:trPr>
          <w:trHeight w:val="97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hanging="425" w:left="519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День родного языка. Познавательно-развлекательная программа «Земля моя – цветные Командоры»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14 февраля 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Алеутского муниципального округа, ответственный исполнитель: МБУ «Никольская районная библиотека имени Витуса Беринга», исполнен в установленный срок :14 февраля 2023, в мероприятии приняли участие 12 человек.  Дети познакомились с алеутским календарём, узнали, что алеутские названия месяцев зависели от хозяйственных занятий населения. Каждый месяц имел своё название, связанное главным образом с промыслами зверей, птиц и сезонными явлениями, а исчисление месяцев алеуты начинали с марта. К мероприятию была подготовлена и своя игровая программа, в ходе которой участникам предстояло и ответить на вопросы викторины, и состязаться в алеутских национальных играх какан,ис (камни) и перетягивание на судатих, а также загарпунить кита и выявить самого ловкого оленевода и удачливого рыбака, а, возможно, даже рыбачку.</w:t>
            </w:r>
          </w:p>
        </w:tc>
      </w:tr>
      <w:tr>
        <w:trPr>
          <w:trHeight w:val="97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День родного языка. Познавательно-развлекательная программа «Родной язык ты так прекрасен».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19 февраля 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Алеутского муниципального округа, ответственный исполнитель: МБУ «Никольская районная библиотека имени Витуса Беринга», исполнен в установленный срок: 19 февраля 2023.В мероприятии приняли участие 18 человек. Ребята ознакомились с основами Алеутского языка, узнали некоторые слова алеутского языка, поиграли в алеутскую игру «Гисхих», насладились приятным и ароматным чаем со сладостями.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25.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проведения «Дня Корякского округа»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10.12.2023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Web11"/>
              <w:suppressAutoHyphens w:val="true"/>
              <w:spacing w:lineRule="auto" w:line="240" w:before="2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kern w:val="0"/>
                <w:sz w:val="24"/>
                <w:szCs w:val="20"/>
              </w:rPr>
              <w:t>Администрация Олюторского муниципального района, Центр культуры и досуга: концерт–портрет Олюторского района.</w:t>
            </w:r>
          </w:p>
          <w:p>
            <w:pPr>
              <w:pStyle w:val="NormalWeb11"/>
              <w:suppressAutoHyphens w:val="true"/>
              <w:spacing w:lineRule="auto" w:line="240" w:before="2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26.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Организация и проведение тематической программы «Путешествие в мир родного языка»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20.02.2023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Олюторского муниципального района, СДК с. Апука: Тематическая программа ко Дню родного языка «Путешествие в мир родного языка» 20 февраля 2023г. МКУК Олюторского муниципального района «Центр культуры и досуга» сельский дом культуры с. Апука.</w:t>
            </w:r>
          </w:p>
        </w:tc>
      </w:tr>
      <w:tr>
        <w:trPr>
          <w:trHeight w:val="53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27.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Литературный час «Творчество Г. Поротова»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21.02.2023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Тигильского муниципального района: библиотека – филиал с.Хайрюзово,  в Международный день родного языка прошёл литературный час «Творчество Г. Поротова».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Присутствовали – 9 человек.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0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28.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Мероприятие для дошкольников «Читаем сказки народов Камчатки»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2022-2032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Елизовского муниципального района, «МКУК СДК п. Сокоч»: культорганизатор Ольга Олеговна Казакова провела для дошкольников мероприятие «Читаем сказки народов Камчатки». Дети познакомились с главным героем сказок Севера - вороном Кутхом (Куткынняку). Узнали о том, что он играет центральную роль в мифологии коряков и ительменов Камчатки. Истории, связанные с Куткынняку, схожи с мифами, распространёнными среди коренных народов Чукотки, Сибири и северо-западного побережья Северной Америки.  Дети послушали сказку «Ворон Кутха – создатель земли Камчатка» (Свободное изложение легенд о создании земли Камчатка для детей дошкольного возраста Маметьевой Л. С.) и узнали, почему кончик хвоста у лисы белый, что подарил Куткынняку мышонку, чтобы он не плакал, в какие цвета Куткынняку окрасил прилетевших к нему птиц, откуда появились птичьи песни и о чём птицы не могут забыть. Количество присутствующих – 10 человек.</w:t>
            </w:r>
          </w:p>
        </w:tc>
      </w:tr>
      <w:tr>
        <w:trPr>
          <w:trHeight w:val="689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29.</w:t>
            </w:r>
          </w:p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Книжные выставки, обзоры, статьи, посвященные изданию первых книг на языках народов Севера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2022-2032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Мильковского сельского поселения: познавательная программа «Край в котором я живу»(22.02.23), количество: 10 чел.,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istParagraph1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94" w:righ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30.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Конкурсы стихов, рассказов, сказок на языках народов Севера, посвященных юбилею Корякского округа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2022-2032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Мильковского сельского поселения: Интегрированное занятие «Как жили ительмены», беседа рассказ по книге А. Смышляева. «Как жили ительмены» проведены для подростков группы дневного пребывания реабилитационного центра. Количество 12 ( 17.02.23)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Проведение курсов по изучению корякского и ительменского языков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Министерство культуры Камчатского края: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КГБУ «Камчатская краевая научная библиотека им. С.П. Крашенинникова»: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течение 2023 г. в классе национальных языков   проведены занятия по изучению ительменского и  корякского языков.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ительменский язык- 12 человек (Рыжков В.В.);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корякский язык -  13 человек (Аслапова Л.А.).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Проведено занятий – 108, обучились – 25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Проведено 6 мероприятий с использованием  языков коренных народов: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лекция «Камчатские чукчи». Материалы из этнокультурных экспедиций  (совместно с КГБУ «Камчатский центр народного творчества»);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вечер памяти корякского писателя В. Коянто (совместно с КГБУ «Камчатский центр народного творчества»);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лекция Л. Аслаповой на тему «Чукотская мудрость. Пословицы и поговорки»;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круглый стол «Совет старейшин» (в рамках межрегионального этнокультурного марафона «Берингия-Арктика»);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беседа о корякской культуре и обычаях с носителями корякского языка (Аслаповой Л., А. Сорокиным, В. Кириченко);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презентация билингвистической аудиокниги «Сборник сказок коренных народов Камчатки» (в рамках проекта «Голоса камчатской книги»).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Общее количество участников мероприятий – 172 чел.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Акция «С книжкой на скамейке. Г.Г. Поротов»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Мильковского сельского поселения: Громкие чтения с участниками летнего лагеря «Кораблик девства» при «Камчатск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ом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центр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для несовершеннолетних».  Количество посетивших - 42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Проведение литературных чтений, посвященных писателям народов Севера Камчатского края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- В. Косыгин (Коянто)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19.01.2023</w:t>
            </w:r>
          </w:p>
        </w:tc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Администрация городского округа «посёлок Палана», Корякская центральная библиотека им. К. Кеккетына: прошли III литературные чтения «Дорогами жизни Владимира Коянто». Участниками чтений, стали ученики и учителя МКОУ СОШ №1 п. Палана, студенты Паланского колледжа и Корякского филиала Камчатского медицинского колледжа, работники культуры и образования, специалисты органов муниципальной и государственной власти. Участники-48 чел.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34.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kern w:val="0"/>
                <w:sz w:val="24"/>
                <w:szCs w:val="20"/>
              </w:rPr>
              <w:t>Включение номинации «Лучший учитель родного языка и родной литературы» во Всероссийский конкурс «Учитель года России»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18-23 сентября</w:t>
            </w:r>
          </w:p>
        </w:tc>
        <w:tc>
          <w:tcPr>
            <w:tcW w:w="9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заключительном этапе Всероссийского профессионального конкурса «Лучший учитель родного языка и родной литературы» (18-23 сентября 2023 г., г. Черкесск) от Камчатского края приняла участие учитель родного (корякского) языка МКОУ «Ачайваямская средняя школа» Сафонова Л.М. Сотрудники кафедры родных языков, культуры и быта КМНС совместно с сотрудниками кафедры дошкольного и начального образования и отдела профессионального развития Камчатского ИРО обеспечили организационно-методическое и организационно-технологическое сопровождение подготовки участника к конкурсу.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35.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kern w:val="0"/>
                <w:sz w:val="24"/>
                <w:szCs w:val="20"/>
              </w:rPr>
              <w:t>Всероссийский этнолингвокультурологический диктант на языках коренных малочисленных народов Севера, Сибири и Дальнего Востока Российской Федерации к Международному дню родного языка</w:t>
            </w:r>
          </w:p>
          <w:p>
            <w:pPr>
              <w:pStyle w:val="TableParagraph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18-19 декабря</w:t>
            </w:r>
          </w:p>
        </w:tc>
        <w:tc>
          <w:tcPr>
            <w:tcW w:w="9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18-19 декабря 2023 ода. в рамках Международного десятилетия языков коренных народов в Камчатском крае проведен Всероссийский этнолингвокультурологический диктант на языках коренных малочисленных народов Севера, Сибири и Дальнего Востока РФ. В написании диктанта приняло участие 36 обучающихся и два учителя. Из них, на корякском языке диктант писали 25 обучающихся из семи образовательных организаций (МКОУ «Ачайваямская средняя школа» (учитель - Сафонова Лидия Михайловна), МКОУ «Хаилинская средняя школа» (учитель - Нюрчани Евгения Ивановна), МКОУ «Среднепахачинская средняя школа» (учитель - Кульу Агриппина Николаевна), МБОУ «Лесновская основная общеобразовательная школа» (учитель - Яганова Владислава Константиновна), МКОУ «Таловская средняя школа» (учитель - Кечгилхот Любовь Сергеевна), МБОУ «Манильская средняя школа» (учитель - Пятникова Людмила Николаевна, МКОУ «СОШ № 1 пгт. Палана» (учитель - Сотрудинова Елена Ивановна); на ительменском языке писали диктант 11 обучающихся и два учителя МБОУ «Ковранская средняя школа» (учитель - Хан Жанна Юрьевна).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36.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kern w:val="0"/>
                <w:sz w:val="24"/>
                <w:szCs w:val="20"/>
              </w:rPr>
              <w:t>Проведение исследования социолингвистической ситуации языков народов Российской Федерации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20-23 октября</w:t>
            </w:r>
          </w:p>
        </w:tc>
        <w:tc>
          <w:tcPr>
            <w:tcW w:w="9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период с 20 по 23 октября 2023 года группа ученых - Ольга Анатольевна Казакевич и Василий Сергеевич Харитонов из Института языкознания РАН (г. Москва), Сергей Васильевич Ковылин из Томского государственного педагогического университета (г. Томск), Сорокин Анатолий Анатольевич из КамГУ им. Витуса Беринга (г. Петропавловск-Камчатский), а также Попова Елена Васильевна, представитель администрации Карагинского муниципального района, участвовавшие в конференции «Сохраняя прошлое, создаем будущее», отправились на выездную сессию в с. Эссо и с. Анавгай Быстринского района Камчатского края. Цель выезда группы участников конференции – проведение социолингвистического анкетирования для выявления уровня межпоколенческой передачи эвенского языка. 21 октября инициативная группа провела работы в с. Анавгай. Во время корякского обрядового праздника «Хололо» организаторы мероприятия предоставили слово ученым, где каждый из них поделился своим опытом работы в деле сохранения миноритарных языков России, применении современных электронных средств для их обработки, а также поделились впечатлениями о Камчатке. Благодаря возможности познакомиться с целями приезда группы в Быстринский район местное население оказало содействие в анкетировании, а также участникам удалось произвести записи корякского языка.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22 октября группа ученых встретилась с общественными деятелями, представителями объединения «Красная яранга», встреча прошла на базе Межпоселенческой центральной библиотеки им. К.С. Черканова. Во время встречи ученые провели практический мастер-класс по применению разных методик для обучения языкам, после которого носители эвенского языка попробовали апробировать ее среди присутствовавших. Таким образом, выездная сессия получилась продуктивной и полезной как для ученых (было собрано готовых фактически 15 анкет, помимо розданных для заполнения населению), так и для местного населения, которые будут продолжать применять полученные знания на практике.</w:t>
            </w:r>
          </w:p>
        </w:tc>
      </w:tr>
      <w:tr>
        <w:trPr>
          <w:trHeight w:val="68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>37.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11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kern w:val="0"/>
                <w:sz w:val="24"/>
                <w:szCs w:val="20"/>
              </w:rPr>
              <w:t>Проведение научных конференций. Круглых столов, семинаров по изучению языков народов Российской Федерации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декабрь</w:t>
            </w:r>
          </w:p>
        </w:tc>
        <w:tc>
          <w:tcPr>
            <w:tcW w:w="9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1.В Камчатском крае состоялась II Всероссийская научно - практическая конференция «Сохраняя прошлое, создаем будущее» (16-20 октября 2023 года). Организаторами конференции выступили автономная некоммерческая организация социализации молодежи Камчатского края «Витус Беринг», отдел научно-исследовательской, инновационной деятельности и аспирантуры, а также центр межкультурных коммуникаций и этнолингвистических исследований КамГУ им. Витуса Беринга. II Всероссийская научно-практическая конференция объединила не только научное сообщество, но и вовлекла в работу студентов, представителей общественных организаций и языковых активистов. За время работы конференции были проведены 2 круглых стола, 2 выставки, 3 секции, 3 семинара, 1 выездная сессия в стойбище «Кайныран» и 6 научно-популярных и просветительских лекций, объединенных общей темой сохранения языкового и культурного наследия коренных малочисленных народов Севера и Камчатки. Общее кол-во участников конференции составило 250 чел.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2. Круглый стол «Нематериальное достояние: как сохранить культуру и родные языки коренных малочисленных народов» состоялся 8 декабря 2023 года в года в г. Петропавловск-Камчатский, в рамках Международной научно - практической конференции «Региональные проблемы развития Дальнего Востока и Арктики (III Моисеевские чтения).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Организатором круглого стола выступило Министерство по развитию гражданского общества и молодежи Камчатского края.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работе круглого стола приняли участие 40 человек: методисты, преподаватели, авторы учебных и методических пособий по языкам коренных малочисленных народов Камчатского края, языковые активисты, представители общественных организаций  специалисты средств массовой информации, организаций науки и культуры из 4 субъектов Российской Федерации, а также представители заинтересованных органов исполнительной власти Камчатского края.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Программа круглого стола включала вопросы «Цифровизация нематериального этнокультурного достояния народов Камчатки», «Методическое обеспечение преподавания языков коренных малочисленных народов Камчатского края», «Продвижение языков коренных малочисленных народов Камчатки в общественном и информационном пространстве» и т.д.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В рамках проведения «круглого стола» состоялась торжественная церемония награждения победителей ежегодного краевого конкурса «Лучшая творческая работа на родном языке коренных малочисленных народов Севера, Сибири и Дальнего Востока, проживающих в Камчатском крае»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567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9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5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1">
    <w:name w:val="Заголовок1"/>
    <w:link w:val="111"/>
    <w:qFormat/>
    <w:rPr>
      <w:rFonts w:ascii="Liberation Sans" w:hAnsi="Liberation Sans"/>
      <w:sz w:val="28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DefaultParagraphFont1">
    <w:name w:val="Default Paragraph Font1"/>
    <w:link w:val="DefaultParagraphFont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List1">
    <w:name w:val="List1"/>
    <w:basedOn w:val="Textbody1"/>
    <w:qFormat/>
    <w:rPr/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Header1">
    <w:name w:val="Header1"/>
    <w:qFormat/>
    <w:rPr/>
  </w:style>
  <w:style w:type="character" w:styleId="Title1">
    <w:name w:val="Title1"/>
    <w:link w:val="Title11"/>
    <w:qFormat/>
    <w:rPr>
      <w:rFonts w:ascii="XO Thames" w:hAnsi="XO Thames"/>
      <w:b/>
      <w:caps/>
      <w:sz w:val="40"/>
    </w:rPr>
  </w:style>
  <w:style w:type="character" w:styleId="11">
    <w:name w:val="Колонтитул1"/>
    <w:link w:val="112"/>
    <w:qFormat/>
    <w:rPr>
      <w:rFonts w:ascii="XO Thames" w:hAnsi="XO Thames"/>
      <w:color w:val="000000"/>
      <w:spacing w:val="0"/>
      <w:sz w:val="20"/>
    </w:rPr>
  </w:style>
  <w:style w:type="character" w:styleId="Endnote">
    <w:name w:val="Endnote"/>
    <w:link w:val="Endnote2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Extendedtext-short1">
    <w:name w:val="extendedtext-short1"/>
    <w:basedOn w:val="DefaultParagraphFont1"/>
    <w:link w:val="Extendedtext-short11"/>
    <w:qFormat/>
    <w:rPr/>
  </w:style>
  <w:style w:type="character" w:styleId="Heading311">
    <w:name w:val="Heading 311"/>
    <w:link w:val="Heading312"/>
    <w:qFormat/>
    <w:rPr>
      <w:rFonts w:ascii="XO Thames" w:hAnsi="XO Thames"/>
      <w:b/>
      <w:sz w:val="26"/>
    </w:rPr>
  </w:style>
  <w:style w:type="character" w:styleId="TableParagraph1">
    <w:name w:val="Table Paragraph1"/>
    <w:link w:val="TableParagraph11"/>
    <w:qFormat/>
    <w:rPr>
      <w:rFonts w:ascii="Times New Roman" w:hAnsi="Times New Roman"/>
    </w:rPr>
  </w:style>
  <w:style w:type="character" w:styleId="ConsPlusNormal1">
    <w:name w:val="ConsPlusNormal1"/>
    <w:link w:val="ConsPlusNormal11"/>
    <w:qFormat/>
    <w:rPr>
      <w:rFonts w:ascii="Arial" w:hAnsi="Arial"/>
      <w:color w:val="000000"/>
      <w:spacing w:val="0"/>
      <w:sz w:val="20"/>
    </w:rPr>
  </w:style>
  <w:style w:type="character" w:styleId="Heading51">
    <w:name w:val="Heading 51"/>
    <w:link w:val="Heading511"/>
    <w:qFormat/>
    <w:rPr>
      <w:rFonts w:ascii="XO Thames" w:hAnsi="XO Thames"/>
      <w:b/>
      <w:sz w:val="22"/>
    </w:rPr>
  </w:style>
  <w:style w:type="character" w:styleId="Endnote1">
    <w:name w:val="Endnote1"/>
    <w:link w:val="Endnote11"/>
    <w:qFormat/>
    <w:rPr>
      <w:rFonts w:ascii="XO Thames" w:hAnsi="XO Thames"/>
      <w:color w:val="000000"/>
      <w:spacing w:val="0"/>
      <w:sz w:val="22"/>
    </w:rPr>
  </w:style>
  <w:style w:type="character" w:styleId="Contents8">
    <w:name w:val="Contents 8"/>
    <w:link w:val="Contents82"/>
    <w:qFormat/>
    <w:rPr>
      <w:rFonts w:ascii="XO Thames" w:hAnsi="XO Thames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List11">
    <w:name w:val="List11"/>
    <w:basedOn w:val="Textbody"/>
    <w:link w:val="List12"/>
    <w:qFormat/>
    <w:rPr/>
  </w:style>
  <w:style w:type="character" w:styleId="Annotationtext1">
    <w:name w:val="annotation text1"/>
    <w:link w:val="Annotationtext11"/>
    <w:qFormat/>
    <w:rPr>
      <w:sz w:val="20"/>
    </w:rPr>
  </w:style>
  <w:style w:type="character" w:styleId="Contents5">
    <w:name w:val="Contents 5"/>
    <w:link w:val="Contents52"/>
    <w:qFormat/>
    <w:rPr>
      <w:rFonts w:ascii="XO Thames" w:hAnsi="XO Thames"/>
      <w:sz w:val="28"/>
    </w:rPr>
  </w:style>
  <w:style w:type="character" w:styleId="Contents3">
    <w:name w:val="Contents 3"/>
    <w:link w:val="Contents32"/>
    <w:qFormat/>
    <w:rPr>
      <w:rFonts w:ascii="XO Thames" w:hAnsi="XO Thames"/>
      <w:sz w:val="28"/>
    </w:rPr>
  </w:style>
  <w:style w:type="character" w:styleId="Contents31">
    <w:name w:val="Contents 31"/>
    <w:qFormat/>
    <w:rPr>
      <w:rFonts w:ascii="XO Thames" w:hAnsi="XO Thames"/>
      <w:color w:val="000000"/>
      <w:spacing w:val="0"/>
      <w:sz w:val="28"/>
    </w:rPr>
  </w:style>
  <w:style w:type="character" w:styleId="12">
    <w:name w:val="Содержимое таблицы1"/>
    <w:link w:val="113"/>
    <w:qFormat/>
    <w:rPr>
      <w:rFonts w:ascii="Arial" w:hAnsi="Arial"/>
      <w:sz w:val="20"/>
    </w:rPr>
  </w:style>
  <w:style w:type="character" w:styleId="Extendedtext-full1">
    <w:name w:val="extendedtext-full1"/>
    <w:basedOn w:val="DefaultParagraphFont1"/>
    <w:link w:val="Extendedtext-full11"/>
    <w:qFormat/>
    <w:rPr/>
  </w:style>
  <w:style w:type="character" w:styleId="ListParagraph1">
    <w:name w:val="List Paragraph1"/>
    <w:link w:val="ListParagraph11"/>
    <w:qFormat/>
    <w:rPr/>
  </w:style>
  <w:style w:type="character" w:styleId="Caption1">
    <w:name w:val="Caption1"/>
    <w:qFormat/>
    <w:rPr>
      <w:i/>
      <w:sz w:val="24"/>
    </w:rPr>
  </w:style>
  <w:style w:type="character" w:styleId="13">
    <w:name w:val="Верхний колонтитул Знак1"/>
    <w:basedOn w:val="DefaultParagraphFont1"/>
    <w:link w:val="114"/>
    <w:qFormat/>
    <w:rPr/>
  </w:style>
  <w:style w:type="character" w:styleId="Strong">
    <w:name w:val="Strong"/>
    <w:basedOn w:val="DefaultParagraphFont1"/>
    <w:qFormat/>
    <w:rPr>
      <w:b/>
    </w:rPr>
  </w:style>
  <w:style w:type="character" w:styleId="Heading11">
    <w:name w:val="Heading 11"/>
    <w:link w:val="Heading111"/>
    <w:qFormat/>
    <w:rPr>
      <w:rFonts w:ascii="XO Thames" w:hAnsi="XO Thames"/>
      <w:b/>
      <w:sz w:val="32"/>
    </w:rPr>
  </w:style>
  <w:style w:type="character" w:styleId="Annotationreference1">
    <w:name w:val="annotation reference1"/>
    <w:basedOn w:val="DefaultParagraphFont1"/>
    <w:link w:val="Annotationreference11"/>
    <w:qFormat/>
    <w:rPr>
      <w:sz w:val="16"/>
    </w:rPr>
  </w:style>
  <w:style w:type="character" w:styleId="Heading52">
    <w:name w:val="Heading 52"/>
    <w:qFormat/>
    <w:rPr>
      <w:rFonts w:ascii="XO Thames" w:hAnsi="XO Thames"/>
      <w:b/>
      <w:color w:val="000000"/>
      <w:spacing w:val="0"/>
      <w:sz w:val="22"/>
    </w:rPr>
  </w:style>
  <w:style w:type="character" w:styleId="Contents9">
    <w:name w:val="Contents 9"/>
    <w:link w:val="Contents92"/>
    <w:qFormat/>
    <w:rPr>
      <w:rFonts w:ascii="XO Thames" w:hAnsi="XO Thames"/>
      <w:sz w:val="28"/>
    </w:rPr>
  </w:style>
  <w:style w:type="character" w:styleId="Contents1">
    <w:name w:val="Contents 1"/>
    <w:link w:val="Contents12"/>
    <w:qFormat/>
    <w:rPr>
      <w:rFonts w:ascii="XO Thames" w:hAnsi="XO Thames"/>
      <w:b/>
      <w:sz w:val="28"/>
    </w:rPr>
  </w:style>
  <w:style w:type="character" w:styleId="Subtitle1">
    <w:name w:val="Subtitle1"/>
    <w:link w:val="Subtitle11"/>
    <w:qFormat/>
    <w:rPr>
      <w:rFonts w:ascii="XO Thames" w:hAnsi="XO Thames"/>
      <w:i/>
      <w:sz w:val="24"/>
    </w:rPr>
  </w:style>
  <w:style w:type="character" w:styleId="Internetlink">
    <w:name w:val="Internet link"/>
    <w:basedOn w:val="DefaultParagraphFont1"/>
    <w:link w:val="Internetlink1"/>
    <w:qFormat/>
    <w:rPr>
      <w:color w:themeColor="hyperlink" w:val="0563C1"/>
      <w:u w:val="single"/>
    </w:rPr>
  </w:style>
  <w:style w:type="character" w:styleId="Heading12">
    <w:name w:val="Heading 12"/>
    <w:qFormat/>
    <w:rPr>
      <w:rFonts w:ascii="XO Thames" w:hAnsi="XO Thames"/>
      <w:b/>
      <w:color w:val="000000"/>
      <w:spacing w:val="0"/>
      <w:sz w:val="32"/>
    </w:rPr>
  </w:style>
  <w:style w:type="character" w:styleId="Contents41">
    <w:name w:val="Contents 41"/>
    <w:link w:val="Contents42"/>
    <w:qFormat/>
    <w:rPr>
      <w:rFonts w:ascii="XO Thames" w:hAnsi="XO Thames"/>
      <w:sz w:val="28"/>
    </w:rPr>
  </w:style>
  <w:style w:type="character" w:styleId="Hyperlink">
    <w:name w:val="Hyperlink"/>
    <w:basedOn w:val="DefaultParagraphFont1"/>
    <w:rPr>
      <w:color w:themeColor="hyperlink" w:val="0563C1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8"/>
    </w:rPr>
  </w:style>
  <w:style w:type="character" w:styleId="Heading21">
    <w:name w:val="Heading 21"/>
    <w:link w:val="Heading21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NormalWeb1">
    <w:name w:val="Normal (Web)1"/>
    <w:link w:val="NormalWeb11"/>
    <w:qFormat/>
    <w:rPr>
      <w:rFonts w:ascii="Times New Roman" w:hAnsi="Times New Roman"/>
      <w:sz w:val="24"/>
    </w:rPr>
  </w:style>
  <w:style w:type="character" w:styleId="BalloonText1">
    <w:name w:val="Balloon Text1"/>
    <w:link w:val="BalloonText11"/>
    <w:qFormat/>
    <w:rPr>
      <w:rFonts w:ascii="Segoe UI" w:hAnsi="Segoe UI"/>
      <w:sz w:val="18"/>
    </w:rPr>
  </w:style>
  <w:style w:type="character" w:styleId="Contents71">
    <w:name w:val="Contents 71"/>
    <w:link w:val="Contents72"/>
    <w:qFormat/>
    <w:rPr>
      <w:rFonts w:ascii="XO Thames" w:hAnsi="XO Thames"/>
      <w:sz w:val="28"/>
    </w:rPr>
  </w:style>
  <w:style w:type="character" w:styleId="Header11">
    <w:name w:val="Header11"/>
    <w:link w:val="Header12"/>
    <w:qFormat/>
    <w:rPr/>
  </w:style>
  <w:style w:type="character" w:styleId="14">
    <w:name w:val="Нижний колонтитул Знак1"/>
    <w:basedOn w:val="DefaultParagraphFont1"/>
    <w:link w:val="115"/>
    <w:qFormat/>
    <w:rPr>
      <w:rFonts w:ascii="Times New Roman" w:hAnsi="Times New Roman"/>
      <w:sz w:val="28"/>
    </w:rPr>
  </w:style>
  <w:style w:type="character" w:styleId="Textbody">
    <w:name w:val="Text body"/>
    <w:link w:val="Textbody2"/>
    <w:qFormat/>
    <w:rPr/>
  </w:style>
  <w:style w:type="character" w:styleId="Heading41">
    <w:name w:val="Heading 41"/>
    <w:link w:val="Heading411"/>
    <w:qFormat/>
    <w:rPr>
      <w:rFonts w:ascii="XO Thames" w:hAnsi="XO Thames"/>
      <w:b/>
      <w:sz w:val="24"/>
    </w:rPr>
  </w:style>
  <w:style w:type="character" w:styleId="Contents91">
    <w:name w:val="Contents 91"/>
    <w:qFormat/>
    <w:rPr>
      <w:rFonts w:ascii="XO Thames" w:hAnsi="XO Thames"/>
      <w:color w:val="000000"/>
      <w:spacing w:val="0"/>
      <w:sz w:val="28"/>
    </w:rPr>
  </w:style>
  <w:style w:type="character" w:styleId="Caption11">
    <w:name w:val="Caption11"/>
    <w:link w:val="Caption12"/>
    <w:qFormat/>
    <w:rPr>
      <w:i/>
      <w:sz w:val="24"/>
    </w:rPr>
  </w:style>
  <w:style w:type="character" w:styleId="PlainText1">
    <w:name w:val="Plain Text1"/>
    <w:link w:val="PlainText11"/>
    <w:qFormat/>
    <w:rPr>
      <w:rFonts w:ascii="Calibri" w:hAnsi="Calibri"/>
    </w:rPr>
  </w:style>
  <w:style w:type="character" w:styleId="StrongEmphasis">
    <w:name w:val="Strong Emphasis"/>
    <w:basedOn w:val="DefaultParagraphFont1"/>
    <w:link w:val="StrongEmphasis2"/>
    <w:qFormat/>
    <w:rPr>
      <w:b/>
    </w:rPr>
  </w:style>
  <w:style w:type="character" w:styleId="Contents61">
    <w:name w:val="Contents 61"/>
    <w:link w:val="Contents62"/>
    <w:qFormat/>
    <w:rPr>
      <w:rFonts w:ascii="XO Thames" w:hAnsi="XO Thames"/>
      <w:sz w:val="28"/>
    </w:rPr>
  </w:style>
  <w:style w:type="character" w:styleId="Contents81">
    <w:name w:val="Contents 81"/>
    <w:qFormat/>
    <w:rPr>
      <w:rFonts w:ascii="XO Thames" w:hAnsi="XO Thames"/>
      <w:color w:val="000000"/>
      <w:spacing w:val="0"/>
      <w:sz w:val="28"/>
    </w:rPr>
  </w:style>
  <w:style w:type="character" w:styleId="Contents21">
    <w:name w:val="Contents 21"/>
    <w:link w:val="Contents22"/>
    <w:qFormat/>
    <w:rPr>
      <w:rFonts w:ascii="XO Thames" w:hAnsi="XO Thames"/>
      <w:sz w:val="28"/>
    </w:rPr>
  </w:style>
  <w:style w:type="character" w:styleId="Annotationsubject1">
    <w:name w:val="annotation subject1"/>
    <w:basedOn w:val="Annotationtext1"/>
    <w:link w:val="Annotationsubject11"/>
    <w:qFormat/>
    <w:rPr>
      <w:b/>
    </w:rPr>
  </w:style>
  <w:style w:type="character" w:styleId="Textbody1">
    <w:name w:val="Text body1"/>
    <w:qFormat/>
    <w:rPr/>
  </w:style>
  <w:style w:type="character" w:styleId="Default1">
    <w:name w:val="Default1"/>
    <w:link w:val="Default11"/>
    <w:qFormat/>
    <w:rPr>
      <w:rFonts w:ascii="Times New Roman" w:hAnsi="Times New Roman"/>
      <w:color w:val="000000"/>
      <w:spacing w:val="0"/>
      <w:sz w:val="24"/>
    </w:rPr>
  </w:style>
  <w:style w:type="character" w:styleId="Contents51">
    <w:name w:val="Contents 51"/>
    <w:qFormat/>
    <w:rPr>
      <w:rFonts w:ascii="XO Thames" w:hAnsi="XO Thames"/>
      <w:color w:val="000000"/>
      <w:spacing w:val="0"/>
      <w:sz w:val="28"/>
    </w:rPr>
  </w:style>
  <w:style w:type="character" w:styleId="Footer11">
    <w:name w:val="Footer11"/>
    <w:link w:val="Footer12"/>
    <w:qFormat/>
    <w:rPr>
      <w:rFonts w:ascii="Times New Roman" w:hAnsi="Times New Roman"/>
      <w:sz w:val="28"/>
    </w:rPr>
  </w:style>
  <w:style w:type="character" w:styleId="15">
    <w:name w:val="Указатель1"/>
    <w:link w:val="116"/>
    <w:qFormat/>
    <w:rPr/>
  </w:style>
  <w:style w:type="character" w:styleId="Subtitle2">
    <w:name w:val="Subtitle2"/>
    <w:qFormat/>
    <w:rPr>
      <w:rFonts w:ascii="XO Thames" w:hAnsi="XO Thames"/>
      <w:i/>
      <w:color w:val="000000"/>
      <w:spacing w:val="0"/>
      <w:sz w:val="24"/>
    </w:rPr>
  </w:style>
  <w:style w:type="character" w:styleId="16">
    <w:name w:val="Заголовок таблицы1"/>
    <w:basedOn w:val="12"/>
    <w:link w:val="117"/>
    <w:qFormat/>
    <w:rPr>
      <w:b/>
    </w:rPr>
  </w:style>
  <w:style w:type="character" w:styleId="Title2">
    <w:name w:val="Title2"/>
    <w:qFormat/>
    <w:rPr>
      <w:rFonts w:ascii="XO Thames" w:hAnsi="XO Thames"/>
      <w:b/>
      <w:caps/>
      <w:color w:val="000000"/>
      <w:spacing w:val="0"/>
      <w:sz w:val="40"/>
    </w:rPr>
  </w:style>
  <w:style w:type="character" w:styleId="Heading42">
    <w:name w:val="Heading 42"/>
    <w:qFormat/>
    <w:rPr>
      <w:rFonts w:ascii="XO Thames" w:hAnsi="XO Thames"/>
      <w:b/>
      <w:color w:val="000000"/>
      <w:spacing w:val="0"/>
      <w:sz w:val="24"/>
    </w:rPr>
  </w:style>
  <w:style w:type="character" w:styleId="17">
    <w:name w:val="Маркеры1"/>
    <w:link w:val="118"/>
    <w:qFormat/>
    <w:rPr>
      <w:rFonts w:ascii="OpenSymbol" w:hAnsi="OpenSymbol"/>
      <w:color w:val="000000"/>
      <w:spacing w:val="0"/>
      <w:sz w:val="22"/>
    </w:rPr>
  </w:style>
  <w:style w:type="character" w:styleId="Heading22">
    <w:name w:val="Heading 22"/>
    <w:qFormat/>
    <w:rPr>
      <w:rFonts w:ascii="XO Thames" w:hAnsi="XO Thames"/>
      <w:b/>
      <w:color w:val="000000"/>
      <w:spacing w:val="0"/>
      <w:sz w:val="28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1">
    <w:name w:val="Default Paragraph Font11"/>
    <w:link w:val="DefaultParagraph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itle11">
    <w:name w:val="Title11"/>
    <w:link w:val="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12">
    <w:name w:val="Колонтитул11"/>
    <w:link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Endnote2">
    <w:name w:val="Endnote2"/>
    <w:link w:val="End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Extendedtext-short11">
    <w:name w:val="extendedtext-short11"/>
    <w:basedOn w:val="DefaultParagraphFont11"/>
    <w:link w:val="Extendedtext-short1"/>
    <w:qFormat/>
    <w:pPr/>
    <w:rPr/>
  </w:style>
  <w:style w:type="paragraph" w:styleId="Heading312">
    <w:name w:val="Heading 312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ableParagraph11">
    <w:name w:val="Table Paragraph11"/>
    <w:basedOn w:val="Normal"/>
    <w:link w:val="TableParagraph1"/>
    <w:qFormat/>
    <w:pPr>
      <w:widowControl w:val="false"/>
      <w:spacing w:lineRule="auto" w:line="240" w:before="0" w:after="0"/>
      <w:ind w:hanging="0" w:left="40"/>
    </w:pPr>
    <w:rPr>
      <w:rFonts w:ascii="Times New Roman" w:hAnsi="Times New Roman"/>
    </w:rPr>
  </w:style>
  <w:style w:type="paragraph" w:styleId="ConsPlusNormal11">
    <w:name w:val="ConsPlusNormal11"/>
    <w:link w:val="ConsPlusNormal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11">
    <w:name w:val="Heading 511"/>
    <w:link w:val="Heading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">
    <w:name w:val="Endnote11"/>
    <w:link w:val="Endnote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List12">
    <w:name w:val="List12"/>
    <w:basedOn w:val="Textbody2"/>
    <w:link w:val="List11"/>
    <w:qFormat/>
    <w:pPr/>
    <w:rPr/>
  </w:style>
  <w:style w:type="paragraph" w:styleId="Annotationtext11">
    <w:name w:val="annotation text11"/>
    <w:basedOn w:val="Normal"/>
    <w:link w:val="Annotationtext1"/>
    <w:qFormat/>
    <w:pPr>
      <w:spacing w:lineRule="auto" w:line="240"/>
    </w:pPr>
    <w:rPr>
      <w:sz w:val="20"/>
    </w:rPr>
  </w:style>
  <w:style w:type="paragraph" w:styleId="Contents52">
    <w:name w:val="Contents 52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2">
    <w:name w:val="Contents 32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3">
    <w:name w:val="Содержимое таблицы11"/>
    <w:basedOn w:val="Normal"/>
    <w:link w:val="12"/>
    <w:qFormat/>
    <w:pPr>
      <w:widowControl w:val="false"/>
      <w:spacing w:lineRule="auto" w:line="240" w:before="0" w:after="0"/>
    </w:pPr>
    <w:rPr>
      <w:rFonts w:ascii="Arial" w:hAnsi="Arial"/>
      <w:sz w:val="20"/>
    </w:rPr>
  </w:style>
  <w:style w:type="paragraph" w:styleId="Extendedtext-full11">
    <w:name w:val="extendedtext-full11"/>
    <w:basedOn w:val="DefaultParagraphFont11"/>
    <w:link w:val="Extendedtext-full1"/>
    <w:qFormat/>
    <w:pPr/>
    <w:rPr/>
  </w:style>
  <w:style w:type="paragraph" w:styleId="ListParagraph11">
    <w:name w:val="List Paragraph11"/>
    <w:basedOn w:val="Normal"/>
    <w:link w:val="ListParagraph1"/>
    <w:qFormat/>
    <w:pPr>
      <w:spacing w:before="0" w:after="160"/>
      <w:ind w:hanging="0" w:left="720"/>
      <w:contextualSpacing/>
    </w:pPr>
    <w:rPr/>
  </w:style>
  <w:style w:type="paragraph" w:styleId="114">
    <w:name w:val="Верхний колонтитул Знак11"/>
    <w:basedOn w:val="DefaultParagraphFont11"/>
    <w:link w:val="13"/>
    <w:qFormat/>
    <w:pPr/>
    <w:rPr/>
  </w:style>
  <w:style w:type="paragraph" w:styleId="StrongEmphasis1">
    <w:name w:val="Strong Emphasis1"/>
    <w:basedOn w:val="DefaultParagraphFont11"/>
    <w:qFormat/>
    <w:pPr/>
    <w:rPr>
      <w:b/>
    </w:rPr>
  </w:style>
  <w:style w:type="paragraph" w:styleId="Heading111">
    <w:name w:val="Heading 111"/>
    <w:link w:val="Heading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Annotationreference11">
    <w:name w:val="annotation reference11"/>
    <w:basedOn w:val="DefaultParagraphFont11"/>
    <w:link w:val="Annotationreference1"/>
    <w:qFormat/>
    <w:pPr/>
    <w:rPr>
      <w:sz w:val="16"/>
    </w:rPr>
  </w:style>
  <w:style w:type="paragraph" w:styleId="Contents92">
    <w:name w:val="Contents 92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">
    <w:name w:val="Subtitle11"/>
    <w:link w:val="Sub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">
    <w:name w:val="Internet link1"/>
    <w:basedOn w:val="DefaultParagraphFont11"/>
    <w:link w:val="Internetlink"/>
    <w:qFormat/>
    <w:pPr/>
    <w:rPr>
      <w:color w:themeColor="hyperlink" w:val="0563C1"/>
      <w:u w:val="single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2">
    <w:name w:val="Internet link2"/>
    <w:basedOn w:val="DefaultParagraphFont11"/>
    <w:qFormat/>
    <w:pPr/>
    <w:rPr>
      <w:color w:themeColor="hyperlink" w:val="0563C1"/>
      <w:u w:val="single"/>
    </w:rPr>
  </w:style>
  <w:style w:type="paragraph" w:styleId="Footnote2">
    <w:name w:val="Footnote2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1">
    <w:name w:val="Normal (Web)11"/>
    <w:basedOn w:val="Normal"/>
    <w:link w:val="NormalWeb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BalloonText11">
    <w:name w:val="Balloon Text11"/>
    <w:basedOn w:val="Normal"/>
    <w:link w:val="BalloonText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12">
    <w:name w:val="Header12"/>
    <w:link w:val="Head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Нижний колонтитул Знак11"/>
    <w:basedOn w:val="DefaultParagraphFont11"/>
    <w:link w:val="14"/>
    <w:qFormat/>
    <w:pPr/>
    <w:rPr>
      <w:rFonts w:ascii="Times New Roman" w:hAnsi="Times New Roman"/>
      <w:sz w:val="28"/>
    </w:rPr>
  </w:style>
  <w:style w:type="paragraph" w:styleId="Textbody2">
    <w:name w:val="Text body2"/>
    <w:link w:val="Textbody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2">
    <w:name w:val="Caption12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PlainText11">
    <w:name w:val="Plain Text11"/>
    <w:basedOn w:val="Normal"/>
    <w:link w:val="PlainText1"/>
    <w:qFormat/>
    <w:pPr>
      <w:spacing w:lineRule="auto" w:line="240" w:before="0" w:after="0"/>
    </w:pPr>
    <w:rPr>
      <w:rFonts w:ascii="Calibri" w:hAnsi="Calibri"/>
    </w:rPr>
  </w:style>
  <w:style w:type="paragraph" w:styleId="StrongEmphasis2">
    <w:name w:val="Strong Emphasis2"/>
    <w:basedOn w:val="DefaultParagraphFont11"/>
    <w:link w:val="StrongEmphasis"/>
    <w:qFormat/>
    <w:pPr/>
    <w:rPr>
      <w:b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subject11">
    <w:name w:val="annotation subject11"/>
    <w:basedOn w:val="Annotationtext11"/>
    <w:next w:val="Annotationtext11"/>
    <w:link w:val="Annotationsubject1"/>
    <w:qFormat/>
    <w:pPr/>
    <w:rPr>
      <w:b/>
    </w:rPr>
  </w:style>
  <w:style w:type="paragraph" w:styleId="Default11">
    <w:name w:val="Default11"/>
    <w:link w:val="Defaul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">
    <w:name w:val="Footer12"/>
    <w:link w:val="Foot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Указатель11"/>
    <w:basedOn w:val="Normal"/>
    <w:link w:val="15"/>
    <w:qFormat/>
    <w:pPr/>
    <w:rPr/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7">
    <w:name w:val="Заголовок таблицы11"/>
    <w:basedOn w:val="113"/>
    <w:link w:val="16"/>
    <w:qFormat/>
    <w:pPr>
      <w:jc w:val="center"/>
    </w:pPr>
    <w:rPr>
      <w:b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18">
    <w:name w:val="Маркеры11"/>
    <w:link w:val="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Symbol" w:hAnsi="OpenSymbol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table" w:styleId="Style_75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6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7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LibreOffice/24.2.0.3$Windows_X86_64 LibreOffice_project/da48488a73ddd66ea24cf16bbc4f7b9c08e9bea1</Application>
  <AppVersion>15.0000</AppVersion>
  <Pages>13</Pages>
  <Words>3927</Words>
  <Characters>28021</Characters>
  <CharactersWithSpaces>31751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2024-03-13T14:33:26Z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